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52"/>
        <w:gridCol w:w="5219"/>
        <w:gridCol w:w="221"/>
        <w:gridCol w:w="216"/>
        <w:gridCol w:w="404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CD0D3ED" w:rsidR="00093CA9" w:rsidRDefault="009F27CE" w:rsidP="00093CA9">
            <w:r>
              <w:t>JSA Advocates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44F8812" w:rsidR="00093CA9" w:rsidRDefault="00F567A8" w:rsidP="00093CA9">
            <w:r w:rsidRPr="00F567A8">
              <w:t>Green Tug Transition Programme (GTTP)</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C688B03" w:rsidR="00093CA9" w:rsidRDefault="00145F6E" w:rsidP="00093CA9">
            <w:hyperlink r:id="rId17" w:history="1">
              <w:r w:rsidRPr="00A87479">
                <w:rPr>
                  <w:rStyle w:val="Hyperlink"/>
                </w:rPr>
                <w:t>https://web.archive.org/web/20250708103956/https://shipmin.gov.in/sites/default/files/GTTP%20SOP%20with%20forwarding%20letter.pdf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509A948"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EF8C592" w:rsidR="00093CA9" w:rsidRDefault="00F567A8"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489574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8C05938"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0C9E416"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B4F87A7" w14:textId="77777777" w:rsidR="00E45D1C" w:rsidRDefault="00E45D1C" w:rsidP="007055BD">
            <w:pPr>
              <w:jc w:val="both"/>
            </w:pPr>
            <w:r>
              <w:t>The Green Tug Transition Programme (GTTP), issued by the Ministry of Ports, Shipping and Waterways (MoPSW), is a policy instrument aimed at transitioning India’s harbor tug fleet from conventional diesel-powered vessels to green, zero-emission tugs. The programme aligns with India’s net-zero target for 2070 and supports international maritime decarbonisation commitments, including those of the International Maritime Organization (IMO).</w:t>
            </w:r>
          </w:p>
          <w:p w14:paraId="2B77A6C9" w14:textId="77777777" w:rsidR="00E45D1C" w:rsidRDefault="00E45D1C" w:rsidP="007055BD">
            <w:pPr>
              <w:jc w:val="both"/>
            </w:pPr>
            <w:r>
              <w:t>The GTTP sets phased implementation targets from 2024 to 2040, requiring major public ports to procure or charter green tugs in accordance with Approved Standard Tug Designs and Specifications (ASTDS-GTTP). The initial phase prioritises battery-electric propulsion systems, with future provisions for alternative fuels and hybrid technologies.</w:t>
            </w:r>
          </w:p>
          <w:p w14:paraId="26424F56" w14:textId="77777777" w:rsidR="00E45D1C" w:rsidRDefault="00E45D1C" w:rsidP="007055BD">
            <w:pPr>
              <w:jc w:val="both"/>
            </w:pPr>
            <w:r>
              <w:t>The policy is relevant to the Transition Planning domain, as it establishes obligations related to:</w:t>
            </w:r>
          </w:p>
          <w:p w14:paraId="30C17682" w14:textId="77777777" w:rsidR="00E45D1C" w:rsidRDefault="00E45D1C" w:rsidP="007055BD">
            <w:pPr>
              <w:pStyle w:val="ListParagraph"/>
              <w:numPr>
                <w:ilvl w:val="0"/>
                <w:numId w:val="54"/>
              </w:numPr>
              <w:jc w:val="both"/>
            </w:pPr>
            <w:r>
              <w:t>Green tug procurement,</w:t>
            </w:r>
          </w:p>
          <w:p w14:paraId="63D27A00" w14:textId="77777777" w:rsidR="00E45D1C" w:rsidRDefault="00E45D1C" w:rsidP="007055BD">
            <w:pPr>
              <w:pStyle w:val="ListParagraph"/>
              <w:numPr>
                <w:ilvl w:val="0"/>
                <w:numId w:val="54"/>
              </w:numPr>
              <w:jc w:val="both"/>
            </w:pPr>
            <w:r>
              <w:t>Port infrastructure readiness, and</w:t>
            </w:r>
          </w:p>
          <w:p w14:paraId="222DBF99" w14:textId="77777777" w:rsidR="00E45D1C" w:rsidRDefault="00E45D1C" w:rsidP="007055BD">
            <w:pPr>
              <w:pStyle w:val="ListParagraph"/>
              <w:numPr>
                <w:ilvl w:val="0"/>
                <w:numId w:val="54"/>
              </w:numPr>
              <w:jc w:val="both"/>
            </w:pPr>
            <w:r>
              <w:t>Institutional and regulatory enforcement mechanisms.</w:t>
            </w:r>
          </w:p>
          <w:p w14:paraId="18257824" w14:textId="57AF9195" w:rsidR="00093CA9" w:rsidRDefault="00E45D1C" w:rsidP="007055BD">
            <w:pPr>
              <w:jc w:val="both"/>
            </w:pPr>
            <w:r>
              <w:t>The GTTP is operationalised through a Standard Operating Procedure (SOP) issued in 2024, which provides technical standards, implementation timelines, and compliance guidelines.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1F98B40" w:rsidR="00093CA9" w:rsidRDefault="006B25D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50B0E4AA"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141A467" w:rsidR="00093CA9" w:rsidRPr="00173D7C" w:rsidRDefault="0087107D"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18BED37" w:rsidR="00093CA9" w:rsidRPr="00173D7C" w:rsidRDefault="0087107D"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3139A41" w14:textId="77777777" w:rsidR="00234A8B" w:rsidRPr="00234A8B" w:rsidRDefault="00234A8B" w:rsidP="00234A8B">
            <w:pPr>
              <w:rPr>
                <w:color w:val="000000" w:themeColor="text1"/>
                <w:lang w:val="en-IN"/>
              </w:rPr>
            </w:pPr>
            <w:r w:rsidRPr="00234A8B">
              <w:rPr>
                <w:color w:val="000000" w:themeColor="text1"/>
                <w:lang w:val="en-IN"/>
              </w:rPr>
              <w:t>GTTP will be implemented in 5 phases:</w:t>
            </w:r>
          </w:p>
          <w:p w14:paraId="721159F2" w14:textId="77777777" w:rsidR="00234A8B" w:rsidRPr="00234A8B" w:rsidRDefault="00234A8B" w:rsidP="00234A8B">
            <w:pPr>
              <w:numPr>
                <w:ilvl w:val="0"/>
                <w:numId w:val="49"/>
              </w:numPr>
              <w:rPr>
                <w:color w:val="000000" w:themeColor="text1"/>
                <w:lang w:val="en-IN"/>
              </w:rPr>
            </w:pPr>
            <w:r w:rsidRPr="007055BD">
              <w:rPr>
                <w:color w:val="000000" w:themeColor="text1"/>
                <w:lang w:val="en-IN"/>
              </w:rPr>
              <w:t>Phase 1:</w:t>
            </w:r>
            <w:r w:rsidRPr="00234A8B">
              <w:rPr>
                <w:color w:val="000000" w:themeColor="text1"/>
                <w:lang w:val="en-IN"/>
              </w:rPr>
              <w:t xml:space="preserve"> 1 Oct 2024 – 31 Dec 2027</w:t>
            </w:r>
          </w:p>
          <w:p w14:paraId="1EB48ACF" w14:textId="77777777" w:rsidR="00234A8B" w:rsidRPr="00234A8B" w:rsidRDefault="00234A8B" w:rsidP="00234A8B">
            <w:pPr>
              <w:numPr>
                <w:ilvl w:val="0"/>
                <w:numId w:val="49"/>
              </w:numPr>
              <w:rPr>
                <w:color w:val="000000" w:themeColor="text1"/>
                <w:lang w:val="en-IN"/>
              </w:rPr>
            </w:pPr>
            <w:r w:rsidRPr="007055BD">
              <w:rPr>
                <w:color w:val="000000" w:themeColor="text1"/>
                <w:lang w:val="en-IN"/>
              </w:rPr>
              <w:t>Phase 2:</w:t>
            </w:r>
            <w:r w:rsidRPr="00234A8B">
              <w:rPr>
                <w:color w:val="000000" w:themeColor="text1"/>
                <w:lang w:val="en-IN"/>
              </w:rPr>
              <w:t xml:space="preserve"> 1 Jan 2028 – 31 Dec 2030</w:t>
            </w:r>
          </w:p>
          <w:p w14:paraId="0F3DDE46" w14:textId="77777777" w:rsidR="00234A8B" w:rsidRPr="00234A8B" w:rsidRDefault="00234A8B" w:rsidP="00234A8B">
            <w:pPr>
              <w:numPr>
                <w:ilvl w:val="0"/>
                <w:numId w:val="49"/>
              </w:numPr>
              <w:rPr>
                <w:color w:val="000000" w:themeColor="text1"/>
                <w:lang w:val="en-IN"/>
              </w:rPr>
            </w:pPr>
            <w:r w:rsidRPr="007055BD">
              <w:rPr>
                <w:color w:val="000000" w:themeColor="text1"/>
                <w:lang w:val="en-IN"/>
              </w:rPr>
              <w:t>Phase 3:</w:t>
            </w:r>
            <w:r w:rsidRPr="00234A8B">
              <w:rPr>
                <w:color w:val="000000" w:themeColor="text1"/>
                <w:lang w:val="en-IN"/>
              </w:rPr>
              <w:t xml:space="preserve"> 1 Jan 2031 – 31 Dec 2033</w:t>
            </w:r>
          </w:p>
          <w:p w14:paraId="5384EA50" w14:textId="77777777" w:rsidR="00234A8B" w:rsidRPr="00234A8B" w:rsidRDefault="00234A8B" w:rsidP="00234A8B">
            <w:pPr>
              <w:numPr>
                <w:ilvl w:val="0"/>
                <w:numId w:val="49"/>
              </w:numPr>
              <w:rPr>
                <w:color w:val="000000" w:themeColor="text1"/>
                <w:lang w:val="en-IN"/>
              </w:rPr>
            </w:pPr>
            <w:r w:rsidRPr="007055BD">
              <w:rPr>
                <w:color w:val="000000" w:themeColor="text1"/>
                <w:lang w:val="en-IN"/>
              </w:rPr>
              <w:t>Phase 4:</w:t>
            </w:r>
            <w:r w:rsidRPr="00234A8B">
              <w:rPr>
                <w:color w:val="000000" w:themeColor="text1"/>
                <w:lang w:val="en-IN"/>
              </w:rPr>
              <w:t xml:space="preserve"> 1 Jan 2034 – 31 Dec 2036</w:t>
            </w:r>
          </w:p>
          <w:p w14:paraId="1A1B9D26" w14:textId="4BBDC95A" w:rsidR="00093CA9" w:rsidRPr="007055BD" w:rsidRDefault="00234A8B" w:rsidP="007055BD">
            <w:pPr>
              <w:numPr>
                <w:ilvl w:val="0"/>
                <w:numId w:val="49"/>
              </w:numPr>
              <w:rPr>
                <w:color w:val="000000" w:themeColor="text1"/>
                <w:lang w:val="en-IN"/>
              </w:rPr>
            </w:pPr>
            <w:r w:rsidRPr="007055BD">
              <w:rPr>
                <w:color w:val="000000" w:themeColor="text1"/>
                <w:lang w:val="en-IN"/>
              </w:rPr>
              <w:t>Phase 5:</w:t>
            </w:r>
            <w:r w:rsidRPr="00234A8B">
              <w:rPr>
                <w:color w:val="000000" w:themeColor="text1"/>
                <w:lang w:val="en-IN"/>
              </w:rPr>
              <w:t xml:space="preserve"> 1 Jan 2037 – 15 Aug 2040</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8C286CE" w:rsidR="00093CA9" w:rsidRPr="007419BF" w:rsidRDefault="00344778" w:rsidP="00093CA9">
            <w:pPr>
              <w:rPr>
                <w:color w:val="000000" w:themeColor="text1"/>
              </w:rPr>
            </w:pPr>
            <w:r w:rsidRPr="00344778">
              <w:rPr>
                <w:color w:val="000000" w:themeColor="text1"/>
              </w:rPr>
              <w:t>15 August 2040 (end of Phase 5)</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6CE99BB" w:rsidR="00093CA9" w:rsidRDefault="0086494D" w:rsidP="00093CA9">
            <w:r w:rsidRPr="0086494D">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A253221" w:rsidR="00093CA9" w:rsidRPr="006B7B0D" w:rsidRDefault="0086494D" w:rsidP="00093CA9">
            <w:r w:rsidRPr="0086494D">
              <w:t>Ministry of Ports, Shipping and Waterways (MoPSW)</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535379C" w:rsidR="00093CA9" w:rsidRPr="006B7B0D" w:rsidRDefault="0086494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8658050" w:rsidR="00093CA9" w:rsidRPr="006B7B0D" w:rsidRDefault="0086494D" w:rsidP="00093CA9">
            <w:r w:rsidRPr="0086494D">
              <w:t>Indian Ports Association (IPA)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2C0079F3" w:rsidR="00093CA9" w:rsidRPr="006B7B0D" w:rsidRDefault="0086494D"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27210735" w:rsidR="00093CA9" w:rsidRPr="006B7B0D" w:rsidRDefault="005A5BD9" w:rsidP="00093CA9">
            <w:r w:rsidRPr="005A5BD9">
              <w:t>Standing Specifications Committee (SSC-GTTP)</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52D3C8F" w:rsidR="00093CA9" w:rsidRPr="006B7B0D" w:rsidRDefault="005A5BD9"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3C263BDB" w:rsidR="00093CA9" w:rsidRPr="006B7B0D" w:rsidRDefault="00E45D1C" w:rsidP="00093CA9">
            <w:r>
              <w:t>NA</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532126C0" w:rsidR="00093CA9" w:rsidRPr="006B7B0D" w:rsidRDefault="00E45D1C" w:rsidP="00093CA9">
            <w:r>
              <w:t>NA</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52F8CDEE" w14:textId="6ED52EAD" w:rsidR="00E45D1C" w:rsidRPr="00E45D1C" w:rsidRDefault="00E45D1C" w:rsidP="007055BD">
            <w:pPr>
              <w:jc w:val="both"/>
              <w:rPr>
                <w:lang w:val="en-IN"/>
              </w:rPr>
            </w:pPr>
            <w:r w:rsidRPr="00E45D1C">
              <w:rPr>
                <w:lang w:val="en-IN"/>
              </w:rPr>
              <w:t xml:space="preserve">The </w:t>
            </w:r>
            <w:r w:rsidRPr="007055BD">
              <w:rPr>
                <w:lang w:val="en-IN"/>
              </w:rPr>
              <w:t>GTTP</w:t>
            </w:r>
            <w:r w:rsidRPr="00E45D1C">
              <w:rPr>
                <w:lang w:val="en-IN"/>
              </w:rPr>
              <w:t xml:space="preserve"> is overseen by three key institutions—</w:t>
            </w:r>
            <w:r w:rsidRPr="007055BD">
              <w:rPr>
                <w:lang w:val="en-IN"/>
              </w:rPr>
              <w:t>MoPSW, IPA, and SSC-GTTP</w:t>
            </w:r>
            <w:r w:rsidRPr="00E45D1C">
              <w:rPr>
                <w:lang w:val="en-IN"/>
              </w:rPr>
              <w:t>—each with defined roles and institutional capacity:</w:t>
            </w:r>
          </w:p>
          <w:p w14:paraId="7981ED23" w14:textId="1F5BE98B" w:rsidR="00E45D1C" w:rsidRDefault="00E45D1C" w:rsidP="00E45D1C">
            <w:pPr>
              <w:numPr>
                <w:ilvl w:val="0"/>
                <w:numId w:val="55"/>
              </w:numPr>
              <w:jc w:val="both"/>
              <w:rPr>
                <w:lang w:val="en-IN"/>
              </w:rPr>
            </w:pPr>
            <w:r w:rsidRPr="00E45D1C">
              <w:rPr>
                <w:b/>
                <w:bCs/>
                <w:lang w:val="en-IN"/>
              </w:rPr>
              <w:t>Ministry of Ports, Shipping and Waterways</w:t>
            </w:r>
            <w:r w:rsidRPr="007055BD">
              <w:rPr>
                <w:lang w:val="en-IN"/>
              </w:rPr>
              <w:t>:</w:t>
            </w:r>
          </w:p>
          <w:p w14:paraId="2E01065E" w14:textId="1E0AAFEF" w:rsidR="00E45D1C" w:rsidRPr="00E45D1C" w:rsidRDefault="00E45D1C" w:rsidP="007055BD">
            <w:pPr>
              <w:ind w:left="720"/>
              <w:jc w:val="both"/>
              <w:rPr>
                <w:lang w:val="en-IN"/>
              </w:rPr>
            </w:pPr>
            <w:r w:rsidRPr="00E45D1C">
              <w:rPr>
                <w:lang w:val="en-IN"/>
              </w:rPr>
              <w:t xml:space="preserve">Acts as the apex policymaking authority, responsible for </w:t>
            </w:r>
            <w:r w:rsidRPr="007055BD">
              <w:rPr>
                <w:lang w:val="en-IN"/>
              </w:rPr>
              <w:t>approving the GTTP framework</w:t>
            </w:r>
            <w:r w:rsidRPr="00E45D1C">
              <w:rPr>
                <w:lang w:val="en-IN"/>
              </w:rPr>
              <w:t>, issuing directives to enforce phase-wise targets, and coordinating regulatory and budgetary support. It also chairs inter-ministerial platforms, demonstrating high institutional capacity.</w:t>
            </w:r>
          </w:p>
          <w:p w14:paraId="35285B63" w14:textId="24E4095B" w:rsidR="00E45D1C" w:rsidRDefault="00E45D1C" w:rsidP="00E45D1C">
            <w:pPr>
              <w:numPr>
                <w:ilvl w:val="0"/>
                <w:numId w:val="55"/>
              </w:numPr>
              <w:jc w:val="both"/>
              <w:rPr>
                <w:lang w:val="en-IN"/>
              </w:rPr>
            </w:pPr>
            <w:r w:rsidRPr="00E45D1C">
              <w:rPr>
                <w:b/>
                <w:bCs/>
                <w:lang w:val="en-IN"/>
              </w:rPr>
              <w:t>Indian Ports Association</w:t>
            </w:r>
            <w:r w:rsidRPr="007055BD">
              <w:rPr>
                <w:lang w:val="en-IN"/>
              </w:rPr>
              <w:t>:</w:t>
            </w:r>
          </w:p>
          <w:p w14:paraId="785E14FE" w14:textId="20DBCAFF" w:rsidR="00E45D1C" w:rsidRPr="00E45D1C" w:rsidRDefault="00E45D1C" w:rsidP="007055BD">
            <w:pPr>
              <w:ind w:left="720"/>
              <w:jc w:val="both"/>
              <w:rPr>
                <w:lang w:val="en-IN"/>
              </w:rPr>
            </w:pPr>
            <w:r w:rsidRPr="00E45D1C">
              <w:rPr>
                <w:lang w:val="en-IN"/>
              </w:rPr>
              <w:t xml:space="preserve">Serves as the </w:t>
            </w:r>
            <w:r w:rsidRPr="007055BD">
              <w:rPr>
                <w:lang w:val="en-IN"/>
              </w:rPr>
              <w:t>nodal agency</w:t>
            </w:r>
            <w:r w:rsidRPr="00E45D1C">
              <w:rPr>
                <w:lang w:val="en-IN"/>
              </w:rPr>
              <w:t xml:space="preserve"> for GTTP implementation. IPA publishes the </w:t>
            </w:r>
            <w:r w:rsidRPr="007055BD">
              <w:rPr>
                <w:lang w:val="en-IN"/>
              </w:rPr>
              <w:t>Approved Standard Tug Designs and Specifications (ASTDS-GTTP)</w:t>
            </w:r>
            <w:r w:rsidRPr="00E45D1C">
              <w:rPr>
                <w:lang w:val="en-IN"/>
              </w:rPr>
              <w:t>, Model Tender Documents, and infrastructure standards, and provides secretarial support to the SSC-GTTP. It ensures coordination across ports and stakeholder engagement.</w:t>
            </w:r>
          </w:p>
          <w:p w14:paraId="0EC332DC" w14:textId="4DB3CA91" w:rsidR="00E45D1C" w:rsidRDefault="00E45D1C" w:rsidP="00E45D1C">
            <w:pPr>
              <w:numPr>
                <w:ilvl w:val="0"/>
                <w:numId w:val="55"/>
              </w:numPr>
              <w:jc w:val="both"/>
              <w:rPr>
                <w:lang w:val="en-IN"/>
              </w:rPr>
            </w:pPr>
            <w:r w:rsidRPr="00E45D1C">
              <w:rPr>
                <w:b/>
                <w:bCs/>
                <w:lang w:val="en-IN"/>
              </w:rPr>
              <w:t>Standing Specifications Committee</w:t>
            </w:r>
            <w:r w:rsidRPr="007055BD">
              <w:rPr>
                <w:lang w:val="en-IN"/>
              </w:rPr>
              <w:t>:</w:t>
            </w:r>
          </w:p>
          <w:p w14:paraId="4C58541A" w14:textId="5C748C31" w:rsidR="00E45D1C" w:rsidRPr="00E45D1C" w:rsidRDefault="00E45D1C" w:rsidP="007055BD">
            <w:pPr>
              <w:ind w:left="720"/>
              <w:jc w:val="both"/>
              <w:rPr>
                <w:lang w:val="en-IN"/>
              </w:rPr>
            </w:pPr>
            <w:r w:rsidRPr="00E45D1C">
              <w:rPr>
                <w:lang w:val="en-IN"/>
              </w:rPr>
              <w:t xml:space="preserve">Comprising representatives from IPA, DG Shipping, shipyards, classification societies, and ports, the SSC is responsible for </w:t>
            </w:r>
            <w:r w:rsidRPr="007055BD">
              <w:rPr>
                <w:lang w:val="en-IN"/>
              </w:rPr>
              <w:t>technical specification vetting</w:t>
            </w:r>
            <w:r w:rsidRPr="00E45D1C">
              <w:rPr>
                <w:lang w:val="en-IN"/>
              </w:rPr>
              <w:t xml:space="preserve">, infrastructure reviews, issuing compliance clarifications, and conducting </w:t>
            </w:r>
            <w:r w:rsidRPr="007055BD">
              <w:rPr>
                <w:lang w:val="en-IN"/>
              </w:rPr>
              <w:t>biannual implementation reviews</w:t>
            </w:r>
            <w:r w:rsidRPr="00E45D1C">
              <w:rPr>
                <w:lang w:val="en-IN"/>
              </w:rPr>
              <w:t>.</w:t>
            </w:r>
          </w:p>
          <w:p w14:paraId="42D06D03" w14:textId="77777777" w:rsidR="00093CA9" w:rsidRDefault="00093CA9" w:rsidP="007055BD">
            <w:pPr>
              <w:jc w:val="both"/>
            </w:pP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89B3BA7" w:rsidR="00093CA9" w:rsidRDefault="0077231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9DB65BC" w14:textId="6F731C3C" w:rsidR="00E45D1C" w:rsidRPr="00E45D1C" w:rsidRDefault="00E45D1C" w:rsidP="007055BD">
            <w:pPr>
              <w:jc w:val="both"/>
              <w:rPr>
                <w:color w:val="000000" w:themeColor="text1"/>
              </w:rPr>
            </w:pPr>
            <w:r w:rsidRPr="00E45D1C">
              <w:rPr>
                <w:color w:val="000000" w:themeColor="text1"/>
              </w:rPr>
              <w:t>The GTTP incorporates a structured monitoring framework combining periodic review and institutional oversight:</w:t>
            </w:r>
          </w:p>
          <w:p w14:paraId="742EAEAC" w14:textId="28C236E0" w:rsidR="00E45D1C" w:rsidRPr="007055BD" w:rsidRDefault="00E45D1C" w:rsidP="007055BD">
            <w:pPr>
              <w:pStyle w:val="ListParagraph"/>
              <w:numPr>
                <w:ilvl w:val="0"/>
                <w:numId w:val="56"/>
              </w:numPr>
              <w:jc w:val="both"/>
              <w:rPr>
                <w:color w:val="000000" w:themeColor="text1"/>
              </w:rPr>
            </w:pPr>
            <w:r w:rsidRPr="007055BD">
              <w:rPr>
                <w:color w:val="000000" w:themeColor="text1"/>
              </w:rPr>
              <w:t>As per Section D.8 of the SOP, the SSC is mandated to conduct implementation reviews at least every six months and recommend course corrections to the MoPSW.</w:t>
            </w:r>
          </w:p>
          <w:p w14:paraId="3B8CB460" w14:textId="623F569A" w:rsidR="00E45D1C" w:rsidRPr="007055BD" w:rsidRDefault="00E45D1C" w:rsidP="007055BD">
            <w:pPr>
              <w:pStyle w:val="ListParagraph"/>
              <w:numPr>
                <w:ilvl w:val="0"/>
                <w:numId w:val="56"/>
              </w:numPr>
              <w:jc w:val="both"/>
              <w:rPr>
                <w:color w:val="000000" w:themeColor="text1"/>
              </w:rPr>
            </w:pPr>
            <w:r w:rsidRPr="007055BD">
              <w:rPr>
                <w:color w:val="000000" w:themeColor="text1"/>
              </w:rPr>
              <w:t>The IPA is responsible for coordinating and ensuring timely conduct of these reviews.</w:t>
            </w:r>
          </w:p>
          <w:p w14:paraId="6A13A386" w14:textId="77777777" w:rsidR="00E45D1C" w:rsidRPr="007055BD" w:rsidRDefault="00E45D1C" w:rsidP="007055BD">
            <w:pPr>
              <w:pStyle w:val="ListParagraph"/>
              <w:numPr>
                <w:ilvl w:val="0"/>
                <w:numId w:val="56"/>
              </w:numPr>
              <w:jc w:val="both"/>
              <w:rPr>
                <w:color w:val="000000" w:themeColor="text1"/>
              </w:rPr>
            </w:pPr>
            <w:r w:rsidRPr="007055BD">
              <w:rPr>
                <w:color w:val="000000" w:themeColor="text1"/>
              </w:rPr>
              <w:t>Under Sections F.2 and F.7, individual ports must align procurement and chartering activities with GTTP phase targets and are required to report any deviations, including force majeure events, to the SSC along with supporting documentation.</w:t>
            </w:r>
          </w:p>
          <w:p w14:paraId="2C2128DB" w14:textId="590184AE" w:rsidR="00093CA9" w:rsidRPr="007055BD" w:rsidRDefault="00E45D1C" w:rsidP="007055BD">
            <w:pPr>
              <w:pStyle w:val="ListParagraph"/>
              <w:keepNext/>
              <w:numPr>
                <w:ilvl w:val="0"/>
                <w:numId w:val="56"/>
              </w:numPr>
              <w:jc w:val="both"/>
              <w:rPr>
                <w:color w:val="000000" w:themeColor="text1"/>
              </w:rPr>
            </w:pPr>
            <w:r w:rsidRPr="007055BD">
              <w:rPr>
                <w:color w:val="000000" w:themeColor="text1"/>
              </w:rPr>
              <w:t>Additionally, Section B.2 mandates MoPSW to develop a regulatory framework to guide and enforce port-level implementation throughout the GTTP timeline.</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055B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rsidRPr="00B66889">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696EE775" w:rsidR="00C4670C" w:rsidRPr="00C37D48" w:rsidRDefault="00A56064"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5C2B1439" w:rsidR="00C4670C" w:rsidRPr="00C37D48" w:rsidRDefault="00A56064"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8AD3B6D" w:rsidR="00C4670C" w:rsidRPr="00C37D48" w:rsidRDefault="00A56064"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9BD7860" w:rsidR="00C4670C" w:rsidRPr="00C37D48" w:rsidRDefault="00A56064"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4DFA655" w:rsidR="00C4670C" w:rsidRPr="00C37D48" w:rsidRDefault="00A56064"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13EAF773" w:rsidR="00C4670C" w:rsidRPr="00C37D48" w:rsidRDefault="00A56064"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75C0F32" w:rsidR="00C4670C" w:rsidRPr="00C37D48" w:rsidRDefault="00A56064"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1E289E9B" w:rsidR="00C4670C" w:rsidRPr="00C37D48" w:rsidRDefault="00A56064"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0FF1AA6C" w:rsidR="00C4670C" w:rsidRPr="00C37D48" w:rsidRDefault="00A56064"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6EA2D509" w:rsidR="00C4670C" w:rsidRPr="00C37D48" w:rsidRDefault="00A56064"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00C8E727" w:rsidR="00C4670C" w:rsidRPr="00C37D48" w:rsidRDefault="00A56064"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0078E9C9" w:rsidR="00C4670C" w:rsidRPr="00C37D48" w:rsidRDefault="00A56064"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06477A70" w:rsidR="00C4670C" w:rsidRPr="00C37D48" w:rsidRDefault="00A56064"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624E1E01" w:rsidR="004F276F" w:rsidRPr="00C37D48" w:rsidRDefault="00E45D1C" w:rsidP="007055BD">
            <w:pPr>
              <w:jc w:val="both"/>
              <w:rPr>
                <w:rFonts w:ascii="Calibri" w:hAnsi="Calibri" w:cs="Calibri"/>
              </w:rPr>
            </w:pPr>
            <w:r w:rsidRPr="00E45D1C">
              <w:rPr>
                <w:rFonts w:ascii="Calibri" w:hAnsi="Calibri" w:cs="Calibri"/>
              </w:rPr>
              <w:t xml:space="preserve">Major Port Authorities and port operators under the administrative control of the MoPSW—including entities such as Jawaharlal Nehru Port Authority (JNPA), Deendayal Port Authority (DPA), V.O. Chidambaranar Port Authority (VOCPA), and Paradip Port Authority (PPA)—are </w:t>
            </w:r>
            <w:r w:rsidRPr="00E45D1C">
              <w:rPr>
                <w:rFonts w:ascii="Calibri" w:hAnsi="Calibri" w:cs="Calibri"/>
              </w:rPr>
              <w:lastRenderedPageBreak/>
              <w:t>specifically targeted by the GTTP for mandatory transition planning and implementation actions.</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13905CD5" w:rsidR="004F276F" w:rsidRPr="00C37D48" w:rsidRDefault="00433FBD"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60C1F1C9" w:rsidR="004F276F" w:rsidRPr="00C37D48" w:rsidRDefault="00433FBD"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09722F47" w:rsidR="004F276F" w:rsidRPr="00C37D48" w:rsidRDefault="00433FBD"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5FDC7092" w:rsidR="004F276F" w:rsidRPr="00C37D48" w:rsidRDefault="00433FBD"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AA75E14" w:rsidR="004F276F" w:rsidRPr="00C37D48" w:rsidRDefault="00433FBD"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E0E8AB7" w:rsidR="004F276F" w:rsidRPr="00C37D48" w:rsidRDefault="00433FBD"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69F79ECF" w:rsidR="004F276F" w:rsidRPr="00C37D48" w:rsidRDefault="00433FBD"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1BE3B212" w:rsidR="004F276F" w:rsidRPr="00C37D48" w:rsidRDefault="00433FBD"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48A7F204"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1A4C4CD9" w:rsidR="004F276F" w:rsidRPr="00C37D48" w:rsidRDefault="00433FBD"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336E2102" w:rsidR="004F276F" w:rsidRPr="00C37D48" w:rsidRDefault="00433FBD"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1A419985" w:rsidR="004F276F" w:rsidRPr="00C37D48" w:rsidRDefault="00433FBD"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1E0BF495" w:rsidR="004F276F" w:rsidRPr="00C37D48" w:rsidRDefault="00433FBD"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63BA9188" w:rsidR="004F276F" w:rsidRPr="00C37D48" w:rsidRDefault="00433FBD"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1EE980CE" w:rsidR="004F276F" w:rsidRPr="00C37D48" w:rsidRDefault="00433FBD"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38AE8A0D" w:rsidR="004F276F" w:rsidRPr="00C37D48" w:rsidRDefault="00433FBD"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EF0A6B0" w:rsidR="004F276F" w:rsidRPr="00C37D48" w:rsidRDefault="00433FBD"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19A89811" w:rsidR="004F276F" w:rsidRPr="00C37D48" w:rsidRDefault="00433FBD"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8208374" w:rsidR="004F276F" w:rsidRPr="00C37D48" w:rsidRDefault="00433FBD"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0EECC1C" w:rsidR="004F276F" w:rsidRPr="00C37D48" w:rsidRDefault="00433FBD"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2BAAAF31" w:rsidR="004F276F" w:rsidRPr="00C37D48" w:rsidRDefault="00433FBD"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2892280D" w:rsidR="004F276F" w:rsidRPr="00C37D48" w:rsidRDefault="00433FBD"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2C06C30C" w:rsidR="004F276F" w:rsidRPr="00C37D48" w:rsidRDefault="00433FBD"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3A362B1D" w:rsidR="004F276F" w:rsidRPr="00C37D48" w:rsidRDefault="004F276F" w:rsidP="007055BD">
            <w:pPr>
              <w:jc w:val="both"/>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184FAF2D" w:rsidR="004F276F" w:rsidRPr="00C37D48" w:rsidRDefault="00F15746" w:rsidP="007055BD">
            <w:pPr>
              <w:jc w:val="both"/>
              <w:rPr>
                <w:rFonts w:ascii="Calibri" w:hAnsi="Calibri" w:cs="Calibri"/>
              </w:rPr>
            </w:pPr>
            <w:r w:rsidRPr="00F15746">
              <w:rPr>
                <w:rFonts w:ascii="Calibri" w:hAnsi="Calibri" w:cs="Calibri"/>
              </w:rPr>
              <w:t xml:space="preserve">The policy tool imposes </w:t>
            </w:r>
            <w:r w:rsidRPr="00F512F5">
              <w:rPr>
                <w:rFonts w:ascii="Calibri" w:hAnsi="Calibri" w:cs="Calibri"/>
              </w:rPr>
              <w:t>mandatory transition planning obligations</w:t>
            </w:r>
            <w:r w:rsidRPr="00F15746">
              <w:rPr>
                <w:rFonts w:ascii="Calibri" w:hAnsi="Calibri" w:cs="Calibri"/>
              </w:rPr>
              <w:t xml:space="preserve"> on </w:t>
            </w:r>
            <w:r w:rsidRPr="00F512F5">
              <w:rPr>
                <w:rFonts w:ascii="Calibri" w:hAnsi="Calibri" w:cs="Calibri"/>
              </w:rPr>
              <w:t>national-level government agencies</w:t>
            </w:r>
            <w:r w:rsidRPr="00F15746">
              <w:rPr>
                <w:rFonts w:ascii="Calibri" w:hAnsi="Calibri" w:cs="Calibri"/>
              </w:rPr>
              <w:t xml:space="preserve"> (MoPSW), and </w:t>
            </w:r>
            <w:r w:rsidRPr="00F512F5">
              <w:rPr>
                <w:rFonts w:ascii="Calibri" w:hAnsi="Calibri" w:cs="Calibri"/>
              </w:rPr>
              <w:t>major ports and their operators</w:t>
            </w:r>
            <w:r w:rsidRPr="00F15746">
              <w:rPr>
                <w:rFonts w:ascii="Calibri" w:hAnsi="Calibri" w:cs="Calibri"/>
              </w:rPr>
              <w:t xml:space="preserve">. While private tug operators and shipyards may voluntarily participate (e.g. by building or chartering compliant tugs), they are not directly mandated. The sectoral focus is </w:t>
            </w:r>
            <w:r w:rsidRPr="00F512F5">
              <w:rPr>
                <w:rFonts w:ascii="Calibri" w:hAnsi="Calibri" w:cs="Calibri"/>
              </w:rPr>
              <w:t>specifically on the port logistics sub-sector</w:t>
            </w:r>
            <w:r w:rsidRPr="00F15746">
              <w:rPr>
                <w:rFonts w:ascii="Calibri" w:hAnsi="Calibri" w:cs="Calibri"/>
              </w:rPr>
              <w:t xml:space="preserve"> under “transportation and storage.”</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055B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69E1E5FA" w:rsidR="004F276F" w:rsidRPr="00C37D48" w:rsidRDefault="002B6CC2" w:rsidP="00C37D48">
            <w:pPr>
              <w:rPr>
                <w:rFonts w:ascii="Calibri" w:hAnsi="Calibri" w:cs="Calibri"/>
              </w:rPr>
            </w:pPr>
            <w:r w:rsidRPr="002B6CC2">
              <w:rPr>
                <w:rFonts w:ascii="Calibri" w:hAnsi="Calibri" w:cs="Calibri"/>
              </w:rPr>
              <w:t>Yes</w:t>
            </w:r>
            <w:r>
              <w:rPr>
                <w:rFonts w:ascii="Calibri" w:hAnsi="Calibri" w:cs="Calibri"/>
              </w:rPr>
              <w:t xml:space="preserve">, </w:t>
            </w:r>
            <w:r w:rsidRPr="002B6CC2">
              <w:rPr>
                <w:rFonts w:ascii="Calibri" w:hAnsi="Calibri" w:cs="Calibri"/>
              </w:rPr>
              <w:t>only Indian ports, including major ports under MoPSW, are covered</w:t>
            </w:r>
            <w:r>
              <w:rPr>
                <w:rFonts w:ascii="Calibri" w:hAnsi="Calibri" w:cs="Calibri"/>
              </w:rPr>
              <w:t>.</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BD83DC5" w:rsidR="004F276F" w:rsidRPr="00C37D48" w:rsidRDefault="00F47FD9"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lastRenderedPageBreak/>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2409A89A" w:rsidR="004F276F" w:rsidRPr="00C37D48" w:rsidRDefault="00B70D16"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1AD88187" w:rsidR="004F276F" w:rsidRPr="00C37D48" w:rsidRDefault="00E055B3" w:rsidP="00C37D48">
            <w:pPr>
              <w:rPr>
                <w:rFonts w:ascii="Calibri" w:hAnsi="Calibri" w:cs="Calibri"/>
              </w:rPr>
            </w:pPr>
            <w:r>
              <w:rPr>
                <w:rFonts w:ascii="Calibri" w:hAnsi="Calibri" w:cs="Calibri"/>
              </w:rPr>
              <w:t>X</w:t>
            </w:r>
            <w:r w:rsidR="00E95096">
              <w:rPr>
                <w:rFonts w:ascii="Calibri" w:hAnsi="Calibri" w:cs="Calibri"/>
              </w:rPr>
              <w:t xml:space="preserve"> </w:t>
            </w:r>
            <w:r w:rsidR="00E95096" w:rsidRPr="00E95096">
              <w:rPr>
                <w:rFonts w:ascii="Calibri" w:hAnsi="Calibri" w:cs="Calibri"/>
              </w:rPr>
              <w:t>(Operational substitution penalties under tender terms)</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4C5314E7" w:rsidR="00711F61" w:rsidRPr="00C37D48" w:rsidRDefault="00E45D1C" w:rsidP="007055BD">
            <w:pPr>
              <w:jc w:val="both"/>
              <w:rPr>
                <w:rFonts w:ascii="Calibri" w:hAnsi="Calibri" w:cs="Calibri"/>
              </w:rPr>
            </w:pPr>
            <w:r w:rsidRPr="00E45D1C">
              <w:rPr>
                <w:rFonts w:ascii="Calibri" w:hAnsi="Calibri" w:cs="Calibri"/>
              </w:rPr>
              <w:t>The GTTP SOP does not prescribe statutory sanctions for non-compliance. However, it incorporates contractual enforcement mechanisms through model tender terms. For example, charterers are required to replace non-compliant tugs with ASTDS-GTTP compliant vessels within 24 months. Failure to do so may attract penalties under the contractual provisions of the model tender documents. Additionally, as per the SOP, ports must obtain clearance from the SSC for any deviations from GTTP targets due to exceptional circumstances or force majeure.</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22773E07" w:rsidR="001F30DE" w:rsidRPr="00C37D48" w:rsidRDefault="00D662D7"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1D140726" w:rsidR="001F30DE" w:rsidRPr="00C37D48" w:rsidRDefault="000077C8" w:rsidP="007055BD">
            <w:pPr>
              <w:jc w:val="both"/>
              <w:rPr>
                <w:rFonts w:ascii="Calibri" w:hAnsi="Calibri" w:cs="Calibri"/>
              </w:rPr>
            </w:pPr>
            <w:r w:rsidRPr="000077C8">
              <w:rPr>
                <w:rFonts w:ascii="Calibri" w:hAnsi="Calibri" w:cs="Calibri"/>
              </w:rPr>
              <w:t>As of July 2025, no formal regulatory enforcement actions or adjudicated penalties under the GTTP have been publicly reported. Phase 1 implementation is currently underway. Contractual provisions related to tug substitution and compliance are included in model tender documents, and their enforcement is linked to the timelines specified within those contracts.</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055EB46B" w:rsidR="001F30DE" w:rsidRPr="00C37D48" w:rsidRDefault="006326D5"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22C3E3B" w:rsidR="004F48E8" w:rsidRPr="00C37D48" w:rsidRDefault="003066C0"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BD8BA48" w:rsidR="000A1365" w:rsidRPr="00C37D48" w:rsidRDefault="00E42DCD"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w:t>
            </w:r>
            <w:r w:rsidRPr="00C37D48">
              <w:rPr>
                <w:rFonts w:ascii="Calibri" w:hAnsi="Calibri" w:cs="Calibri"/>
              </w:rPr>
              <w:lastRenderedPageBreak/>
              <w:t>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0DB43780" w:rsidR="00D27551" w:rsidRPr="00C37D48" w:rsidRDefault="008440E3"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592DCCD3" w:rsidR="00850F36" w:rsidRPr="00C37D48" w:rsidRDefault="00FE737F"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00318DF6" w:rsidR="00850F36" w:rsidRPr="00C37D48" w:rsidRDefault="00FE737F"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AF11140" w:rsidR="00850F36" w:rsidRPr="00C37D48" w:rsidRDefault="00FE737F"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248AD7F5" w:rsidR="00850F36" w:rsidRPr="00C37D48" w:rsidRDefault="00FE737F"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08690950" w:rsidR="00850F36" w:rsidRPr="00C37D48" w:rsidRDefault="00545318"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606079C9" w:rsidR="00850F36" w:rsidRPr="00C37D48" w:rsidRDefault="00545318"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296FFB57" w:rsidR="00850F36" w:rsidRPr="00C37D48" w:rsidRDefault="00545318"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0512C368" w:rsidR="00850F36" w:rsidRPr="00C37D48" w:rsidRDefault="00545318"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42E2D45A" w:rsidR="00850F36" w:rsidRPr="00C37D48" w:rsidRDefault="00545318"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758C8BA" w:rsidR="00850F36" w:rsidRPr="00C37D48" w:rsidRDefault="00545318"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700E3061" w:rsidR="00850F36" w:rsidRPr="00C37D48" w:rsidRDefault="00545318"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7E56E320" w:rsidR="00850F36" w:rsidRPr="00C37D48" w:rsidRDefault="00545318"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745D81EF" w:rsidR="00850F36" w:rsidRPr="00C37D48" w:rsidRDefault="00545318"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0C05E843" w14:textId="77777777" w:rsidR="000077C8" w:rsidRPr="000077C8" w:rsidRDefault="000077C8" w:rsidP="000077C8">
            <w:pPr>
              <w:jc w:val="both"/>
              <w:rPr>
                <w:rFonts w:ascii="Calibri" w:hAnsi="Calibri" w:cs="Calibri"/>
                <w:lang w:val="en-IN"/>
              </w:rPr>
            </w:pPr>
            <w:r w:rsidRPr="000077C8">
              <w:rPr>
                <w:rFonts w:ascii="Calibri" w:hAnsi="Calibri" w:cs="Calibri"/>
                <w:lang w:val="en-IN"/>
              </w:rPr>
              <w:t>The Green Tug Transition Programme (GTTP) sets phased decarbonisation targets specific to the harbor tug fleet at major ports, as outlined in Section B.3 of the GTTP Standard Operating Procedure (SOP):</w:t>
            </w:r>
          </w:p>
          <w:p w14:paraId="39679D94" w14:textId="77777777" w:rsidR="000077C8" w:rsidRPr="007055BD" w:rsidRDefault="000077C8" w:rsidP="007055BD">
            <w:pPr>
              <w:pStyle w:val="ListParagraph"/>
              <w:numPr>
                <w:ilvl w:val="0"/>
                <w:numId w:val="57"/>
              </w:numPr>
              <w:jc w:val="both"/>
              <w:rPr>
                <w:rFonts w:ascii="Calibri" w:hAnsi="Calibri" w:cs="Calibri"/>
                <w:lang w:val="en-IN"/>
              </w:rPr>
            </w:pPr>
            <w:r w:rsidRPr="007055BD">
              <w:rPr>
                <w:rFonts w:ascii="Calibri" w:hAnsi="Calibri" w:cs="Calibri"/>
                <w:lang w:val="en-IN"/>
              </w:rPr>
              <w:lastRenderedPageBreak/>
              <w:t>At least 30% of the tug fleet at each major port must be ASTDS-GTTP compliant by 2030,</w:t>
            </w:r>
          </w:p>
          <w:p w14:paraId="5D6764C6" w14:textId="77777777" w:rsidR="000077C8" w:rsidRPr="007055BD" w:rsidRDefault="000077C8" w:rsidP="007055BD">
            <w:pPr>
              <w:pStyle w:val="ListParagraph"/>
              <w:numPr>
                <w:ilvl w:val="0"/>
                <w:numId w:val="57"/>
              </w:numPr>
              <w:jc w:val="both"/>
              <w:rPr>
                <w:rFonts w:ascii="Calibri" w:hAnsi="Calibri" w:cs="Calibri"/>
                <w:lang w:val="en-IN"/>
              </w:rPr>
            </w:pPr>
            <w:r w:rsidRPr="007055BD">
              <w:rPr>
                <w:rFonts w:ascii="Calibri" w:hAnsi="Calibri" w:cs="Calibri"/>
                <w:lang w:val="en-IN"/>
              </w:rPr>
              <w:t>Increasing to 60% by 2033, and</w:t>
            </w:r>
          </w:p>
          <w:p w14:paraId="120B58D8" w14:textId="77777777" w:rsidR="000077C8" w:rsidRPr="007055BD" w:rsidRDefault="000077C8" w:rsidP="007055BD">
            <w:pPr>
              <w:pStyle w:val="ListParagraph"/>
              <w:numPr>
                <w:ilvl w:val="0"/>
                <w:numId w:val="57"/>
              </w:numPr>
              <w:jc w:val="both"/>
              <w:rPr>
                <w:rFonts w:ascii="Calibri" w:hAnsi="Calibri" w:cs="Calibri"/>
                <w:lang w:val="en-IN"/>
              </w:rPr>
            </w:pPr>
            <w:r w:rsidRPr="007055BD">
              <w:rPr>
                <w:rFonts w:ascii="Calibri" w:hAnsi="Calibri" w:cs="Calibri"/>
                <w:lang w:val="en-IN"/>
              </w:rPr>
              <w:t>Reaching 100% compliance by 2036, subject to the remaining life or charter period of existing diesel tugs.</w:t>
            </w:r>
          </w:p>
          <w:p w14:paraId="5D3E62DC" w14:textId="77777777" w:rsidR="000077C8" w:rsidRPr="000077C8" w:rsidRDefault="000077C8" w:rsidP="000077C8">
            <w:pPr>
              <w:jc w:val="both"/>
              <w:rPr>
                <w:rFonts w:ascii="Calibri" w:hAnsi="Calibri" w:cs="Calibri"/>
                <w:lang w:val="en-IN"/>
              </w:rPr>
            </w:pPr>
            <w:r w:rsidRPr="000077C8">
              <w:rPr>
                <w:rFonts w:ascii="Calibri" w:hAnsi="Calibri" w:cs="Calibri"/>
                <w:lang w:val="en-IN"/>
              </w:rPr>
              <w:t>In addition, Section B.4 requires ports to phase out diesel-powered tugs and ensure that all newly procured or chartered tugs are zero-emission and compliant with approved green technology standards (e.g. battery-electric, hydrogen, methanol, hybrid propulsion).</w:t>
            </w:r>
          </w:p>
          <w:p w14:paraId="02391041" w14:textId="77777777" w:rsidR="000077C8" w:rsidRDefault="000077C8" w:rsidP="000077C8">
            <w:pPr>
              <w:jc w:val="both"/>
              <w:rPr>
                <w:rFonts w:ascii="Calibri" w:hAnsi="Calibri" w:cs="Calibri"/>
                <w:lang w:val="en-IN"/>
              </w:rPr>
            </w:pPr>
            <w:r w:rsidRPr="000077C8">
              <w:rPr>
                <w:rFonts w:ascii="Calibri" w:hAnsi="Calibri" w:cs="Calibri"/>
                <w:lang w:val="en-IN"/>
              </w:rPr>
              <w:t>Further, Section E.1 of the SOP mandates that the electricity used for battery-electric tugs must be sourced from renewable energy, either through captive generation or green Power Purchase Agreements (PPAs).</w:t>
            </w:r>
          </w:p>
          <w:p w14:paraId="20CA8168" w14:textId="700377A4" w:rsidR="00D9431B" w:rsidRPr="007055BD" w:rsidRDefault="00D9431B" w:rsidP="007055BD">
            <w:pPr>
              <w:jc w:val="both"/>
              <w:rPr>
                <w:rFonts w:ascii="Calibri" w:hAnsi="Calibri" w:cs="Calibri"/>
                <w:lang w:val="en-IN"/>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1F87C5A9" w:rsidR="000A1365" w:rsidRPr="00C37D48" w:rsidRDefault="003E533C"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12A7C9D2" w:rsidR="00C81DE5" w:rsidRPr="00C37D48" w:rsidRDefault="003E533C"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5D02853" w:rsidR="000A1365" w:rsidRPr="00C37D48" w:rsidRDefault="005F7BBA"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497FB1F6" w14:textId="77777777" w:rsidR="00F44E61" w:rsidRPr="00F44E61" w:rsidRDefault="00F44E61" w:rsidP="00F44E61">
            <w:pPr>
              <w:rPr>
                <w:rFonts w:ascii="Calibri" w:hAnsi="Calibri" w:cs="Calibri"/>
                <w:lang w:val="en-IN"/>
              </w:rPr>
            </w:pPr>
            <w:r w:rsidRPr="00F44E61">
              <w:rPr>
                <w:rFonts w:ascii="Calibri" w:hAnsi="Calibri" w:cs="Calibri"/>
                <w:lang w:val="en-IN"/>
              </w:rPr>
              <w:t>The GTTP sets a phased fleet decarbonisation target:</w:t>
            </w:r>
          </w:p>
          <w:p w14:paraId="42DAF944" w14:textId="77777777" w:rsidR="00F44E61" w:rsidRPr="00F44E61" w:rsidRDefault="00F44E61" w:rsidP="00F44E61">
            <w:pPr>
              <w:numPr>
                <w:ilvl w:val="0"/>
                <w:numId w:val="52"/>
              </w:numPr>
              <w:rPr>
                <w:rFonts w:ascii="Calibri" w:hAnsi="Calibri" w:cs="Calibri"/>
                <w:lang w:val="en-IN"/>
              </w:rPr>
            </w:pPr>
            <w:r w:rsidRPr="007055BD">
              <w:rPr>
                <w:rFonts w:ascii="Calibri" w:hAnsi="Calibri" w:cs="Calibri"/>
                <w:lang w:val="en-IN"/>
              </w:rPr>
              <w:t>30% ASTDS-GTTP compliant tugs by 2030</w:t>
            </w:r>
          </w:p>
          <w:p w14:paraId="659989CE" w14:textId="77777777" w:rsidR="00F44E61" w:rsidRPr="00F44E61" w:rsidRDefault="00F44E61" w:rsidP="00F44E61">
            <w:pPr>
              <w:numPr>
                <w:ilvl w:val="0"/>
                <w:numId w:val="52"/>
              </w:numPr>
              <w:rPr>
                <w:rFonts w:ascii="Calibri" w:hAnsi="Calibri" w:cs="Calibri"/>
                <w:lang w:val="en-IN"/>
              </w:rPr>
            </w:pPr>
            <w:r w:rsidRPr="007055BD">
              <w:rPr>
                <w:rFonts w:ascii="Calibri" w:hAnsi="Calibri" w:cs="Calibri"/>
                <w:lang w:val="en-IN"/>
              </w:rPr>
              <w:t>60% by 2033</w:t>
            </w:r>
          </w:p>
          <w:p w14:paraId="4E489773" w14:textId="77777777" w:rsidR="00F44E61" w:rsidRPr="00F44E61" w:rsidRDefault="00F44E61" w:rsidP="00F44E61">
            <w:pPr>
              <w:numPr>
                <w:ilvl w:val="0"/>
                <w:numId w:val="52"/>
              </w:numPr>
              <w:rPr>
                <w:rFonts w:ascii="Calibri" w:hAnsi="Calibri" w:cs="Calibri"/>
                <w:lang w:val="en-IN"/>
              </w:rPr>
            </w:pPr>
            <w:r w:rsidRPr="007055BD">
              <w:rPr>
                <w:rFonts w:ascii="Calibri" w:hAnsi="Calibri" w:cs="Calibri"/>
                <w:lang w:val="en-IN"/>
              </w:rPr>
              <w:t>100% by 2036</w:t>
            </w:r>
          </w:p>
          <w:p w14:paraId="6B197231" w14:textId="1BB2DD8C" w:rsidR="000A1365" w:rsidRPr="007055BD" w:rsidRDefault="00F44E61" w:rsidP="007055BD">
            <w:pPr>
              <w:numPr>
                <w:ilvl w:val="0"/>
                <w:numId w:val="52"/>
              </w:numPr>
              <w:rPr>
                <w:rFonts w:ascii="Calibri" w:hAnsi="Calibri" w:cs="Calibri"/>
                <w:lang w:val="en-IN"/>
              </w:rPr>
            </w:pPr>
            <w:r w:rsidRPr="00F44E61">
              <w:rPr>
                <w:rFonts w:ascii="Calibri" w:hAnsi="Calibri" w:cs="Calibri"/>
                <w:lang w:val="en-IN"/>
              </w:rPr>
              <w:t xml:space="preserve">Final action plans to complete transition by </w:t>
            </w:r>
            <w:r w:rsidRPr="007055BD">
              <w:rPr>
                <w:rFonts w:ascii="Calibri" w:hAnsi="Calibri" w:cs="Calibri"/>
                <w:lang w:val="en-IN"/>
              </w:rPr>
              <w:t>15 August 2040</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449CA67D" w:rsidR="000A1365" w:rsidRPr="00C37D48" w:rsidRDefault="00940AA3"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2F1297D" w:rsidR="000A1365" w:rsidRPr="00C37D48" w:rsidRDefault="000F7F1D"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081DBECC" w:rsidR="000A1365" w:rsidRPr="00C37D48" w:rsidRDefault="000F7F1D"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4985BC4" w:rsidR="000A1365" w:rsidRPr="00C37D48" w:rsidRDefault="000F7F1D"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57EC8C6" w:rsidR="00D9431B" w:rsidRPr="00C37D48" w:rsidRDefault="000F7F1D"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6E074BC5" w:rsidR="00890032" w:rsidRPr="00C37D48" w:rsidRDefault="00D41B5E"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604B1089" w:rsidR="00474855" w:rsidRPr="00C37D48" w:rsidRDefault="00D41B5E" w:rsidP="00C37D48">
            <w:pPr>
              <w:rPr>
                <w:rFonts w:ascii="Calibri" w:hAnsi="Calibri" w:cs="Calibri"/>
              </w:rPr>
            </w:pPr>
            <w:r>
              <w:rPr>
                <w:rFonts w:ascii="Calibri" w:hAnsi="Calibri" w:cs="Calibri"/>
              </w:rPr>
              <w:t>No</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D9FCCDC" w:rsidR="003618D4" w:rsidRPr="00C37D48" w:rsidRDefault="00AE19D2"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B106F8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4E47AD8E" w:rsidR="003618D4" w:rsidRPr="00C37D48" w:rsidRDefault="00AE19D2"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50CFCFAE" w:rsidR="003618D4" w:rsidRPr="00C37D48" w:rsidRDefault="00AE19D2" w:rsidP="00C37D48">
            <w:pPr>
              <w:rPr>
                <w:rFonts w:ascii="Calibri" w:hAnsi="Calibri" w:cs="Calibri"/>
              </w:rPr>
            </w:pPr>
            <w:r>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1BD9C344" w:rsidR="003618D4" w:rsidRPr="00C37D48" w:rsidRDefault="00AE19D2"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1D3EFFCC" w:rsidR="003618D4" w:rsidRPr="00C37D48" w:rsidRDefault="00AE19D2"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07247E70"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5AFBFC28" w:rsidR="003618D4" w:rsidRPr="00C37D48" w:rsidRDefault="00AE19D2"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BA8D69C" w14:textId="4073005C" w:rsidR="000077C8" w:rsidRPr="000077C8" w:rsidRDefault="000077C8" w:rsidP="000077C8">
            <w:pPr>
              <w:jc w:val="both"/>
              <w:rPr>
                <w:rFonts w:ascii="Calibri" w:hAnsi="Calibri" w:cs="Calibri"/>
                <w:lang w:val="en-IN"/>
              </w:rPr>
            </w:pPr>
            <w:r w:rsidRPr="000077C8">
              <w:rPr>
                <w:rFonts w:ascii="Calibri" w:hAnsi="Calibri" w:cs="Calibri"/>
                <w:lang w:val="en-IN"/>
              </w:rPr>
              <w:t>The GTTP SOP mandates a phased transition framework spanning 2024 to 2040, divided into five implementation phases, as outlined in Section B.3. This includes defined fleet compliance targets of 30% by 2030, 60% by 2033, and 100% by 2036, with a requirement for ports to submit final transition action plans by 15 August 2040.</w:t>
            </w:r>
          </w:p>
          <w:p w14:paraId="475AE54F" w14:textId="41597543" w:rsidR="005733AF" w:rsidRPr="00C37D48" w:rsidRDefault="000077C8" w:rsidP="007055BD">
            <w:pPr>
              <w:jc w:val="both"/>
              <w:rPr>
                <w:rFonts w:ascii="Calibri" w:hAnsi="Calibri" w:cs="Calibri"/>
              </w:rPr>
            </w:pPr>
            <w:r w:rsidRPr="000077C8">
              <w:rPr>
                <w:rFonts w:ascii="Calibri" w:hAnsi="Calibri" w:cs="Calibri"/>
                <w:lang w:val="en-IN"/>
              </w:rPr>
              <w:t>Additionally, Section D.8 assigns the SSC responsibility for conducting implementation reviews at least once every six months and recommending course corrections as necessary. This mechanism ensures that ports update and align their transition plans in accordance with GTTP targets and evolving technical standards.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7045765B" w:rsidR="00E7486E" w:rsidRPr="00C37D48" w:rsidRDefault="00055E3F"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226D59D0" w14:textId="77777777" w:rsidR="001B7D92" w:rsidRPr="001B7D92" w:rsidRDefault="001B7D92" w:rsidP="007055BD">
            <w:pPr>
              <w:jc w:val="both"/>
              <w:rPr>
                <w:rFonts w:ascii="Calibri" w:hAnsi="Calibri" w:cs="Calibri"/>
                <w:lang w:val="en-IN"/>
              </w:rPr>
            </w:pPr>
            <w:r w:rsidRPr="001B7D92">
              <w:rPr>
                <w:rFonts w:ascii="Calibri" w:hAnsi="Calibri" w:cs="Calibri"/>
                <w:lang w:val="en-IN"/>
              </w:rPr>
              <w:t xml:space="preserve">The GTTP mandates that </w:t>
            </w:r>
            <w:r w:rsidRPr="007055BD">
              <w:rPr>
                <w:rFonts w:ascii="Calibri" w:hAnsi="Calibri" w:cs="Calibri"/>
                <w:lang w:val="en-IN"/>
              </w:rPr>
              <w:t>implementation progress of the transition plan must be monitored</w:t>
            </w:r>
            <w:r w:rsidRPr="001B7D92">
              <w:rPr>
                <w:rFonts w:ascii="Calibri" w:hAnsi="Calibri" w:cs="Calibri"/>
                <w:lang w:val="en-IN"/>
              </w:rPr>
              <w:t xml:space="preserve"> as follows:</w:t>
            </w:r>
          </w:p>
          <w:p w14:paraId="581B3250" w14:textId="7CAF74D4" w:rsidR="001B7D92" w:rsidRPr="001B7D92" w:rsidRDefault="001B7D92" w:rsidP="007055BD">
            <w:pPr>
              <w:numPr>
                <w:ilvl w:val="0"/>
                <w:numId w:val="53"/>
              </w:numPr>
              <w:jc w:val="both"/>
              <w:rPr>
                <w:rFonts w:ascii="Calibri" w:hAnsi="Calibri" w:cs="Calibri"/>
                <w:lang w:val="en-IN"/>
              </w:rPr>
            </w:pPr>
            <w:r w:rsidRPr="001B7D92">
              <w:rPr>
                <w:rFonts w:ascii="Calibri" w:hAnsi="Calibri" w:cs="Calibri"/>
                <w:lang w:val="en-IN"/>
              </w:rPr>
              <w:t xml:space="preserve">The </w:t>
            </w:r>
            <w:r w:rsidRPr="007055BD">
              <w:rPr>
                <w:rFonts w:ascii="Calibri" w:hAnsi="Calibri" w:cs="Calibri"/>
                <w:lang w:val="en-IN"/>
              </w:rPr>
              <w:t>SSC</w:t>
            </w:r>
            <w:r w:rsidRPr="001B7D92">
              <w:rPr>
                <w:rFonts w:ascii="Calibri" w:hAnsi="Calibri" w:cs="Calibri"/>
                <w:lang w:val="en-IN"/>
              </w:rPr>
              <w:t xml:space="preserve"> is required to </w:t>
            </w:r>
            <w:r w:rsidRPr="007055BD">
              <w:rPr>
                <w:rFonts w:ascii="Calibri" w:hAnsi="Calibri" w:cs="Calibri"/>
                <w:lang w:val="en-IN"/>
              </w:rPr>
              <w:t>review implementation and recommend course corrections every six months</w:t>
            </w:r>
            <w:r w:rsidRPr="001B7D92">
              <w:rPr>
                <w:rFonts w:ascii="Calibri" w:hAnsi="Calibri" w:cs="Calibri"/>
                <w:lang w:val="en-IN"/>
              </w:rPr>
              <w:t>. (</w:t>
            </w:r>
            <w:r w:rsidRPr="001B7D92">
              <w:rPr>
                <w:rFonts w:ascii="Calibri" w:hAnsi="Calibri" w:cs="Calibri"/>
                <w:i/>
                <w:iCs/>
                <w:lang w:val="en-IN"/>
              </w:rPr>
              <w:t>GTTP SOP, Para D.8)</w:t>
            </w:r>
          </w:p>
          <w:p w14:paraId="26661848" w14:textId="1AE8907D" w:rsidR="001B7D92" w:rsidRPr="001B7D92" w:rsidRDefault="001B7D92" w:rsidP="007055BD">
            <w:pPr>
              <w:numPr>
                <w:ilvl w:val="0"/>
                <w:numId w:val="53"/>
              </w:numPr>
              <w:jc w:val="both"/>
              <w:rPr>
                <w:rFonts w:ascii="Calibri" w:hAnsi="Calibri" w:cs="Calibri"/>
                <w:lang w:val="en-IN"/>
              </w:rPr>
            </w:pPr>
            <w:r w:rsidRPr="001B7D92">
              <w:rPr>
                <w:rFonts w:ascii="Calibri" w:hAnsi="Calibri" w:cs="Calibri"/>
                <w:lang w:val="en-IN"/>
              </w:rPr>
              <w:t xml:space="preserve">The </w:t>
            </w:r>
            <w:r w:rsidRPr="007055BD">
              <w:rPr>
                <w:rFonts w:ascii="Calibri" w:hAnsi="Calibri" w:cs="Calibri"/>
                <w:lang w:val="en-IN"/>
              </w:rPr>
              <w:t>IPA</w:t>
            </w:r>
            <w:r w:rsidRPr="001B7D92">
              <w:rPr>
                <w:rFonts w:ascii="Calibri" w:hAnsi="Calibri" w:cs="Calibri"/>
                <w:lang w:val="en-IN"/>
              </w:rPr>
              <w:t xml:space="preserve"> is responsible for ensuring that these reviews are conducted. (</w:t>
            </w:r>
            <w:r w:rsidRPr="001B7D92">
              <w:rPr>
                <w:rFonts w:ascii="Calibri" w:hAnsi="Calibri" w:cs="Calibri"/>
                <w:i/>
                <w:iCs/>
                <w:lang w:val="en-IN"/>
              </w:rPr>
              <w:t>GTTP SOP, Para D.8)</w:t>
            </w:r>
          </w:p>
          <w:p w14:paraId="0C49EF13" w14:textId="4BD4C51E" w:rsidR="00E7486E" w:rsidRPr="007055BD" w:rsidRDefault="001B7D92" w:rsidP="007055BD">
            <w:pPr>
              <w:numPr>
                <w:ilvl w:val="0"/>
                <w:numId w:val="53"/>
              </w:numPr>
              <w:jc w:val="both"/>
              <w:rPr>
                <w:rFonts w:ascii="Calibri" w:hAnsi="Calibri" w:cs="Calibri"/>
                <w:lang w:val="en-IN"/>
              </w:rPr>
            </w:pPr>
            <w:r w:rsidRPr="001B7D92">
              <w:rPr>
                <w:rFonts w:ascii="Calibri" w:hAnsi="Calibri" w:cs="Calibri"/>
                <w:lang w:val="en-IN"/>
              </w:rPr>
              <w:t xml:space="preserve">Additionally, </w:t>
            </w:r>
            <w:r w:rsidRPr="007055BD">
              <w:rPr>
                <w:rFonts w:ascii="Calibri" w:hAnsi="Calibri" w:cs="Calibri"/>
                <w:lang w:val="en-IN"/>
              </w:rPr>
              <w:t>ports must align their tug procurement plans with the GTTP phase timelines</w:t>
            </w:r>
            <w:r w:rsidRPr="001B7D92">
              <w:rPr>
                <w:rFonts w:ascii="Calibri" w:hAnsi="Calibri" w:cs="Calibri"/>
                <w:lang w:val="en-IN"/>
              </w:rPr>
              <w:t xml:space="preserve"> and are required to </w:t>
            </w:r>
            <w:r w:rsidRPr="007055BD">
              <w:rPr>
                <w:rFonts w:ascii="Calibri" w:hAnsi="Calibri" w:cs="Calibri"/>
                <w:lang w:val="en-IN"/>
              </w:rPr>
              <w:t>report exceptions</w:t>
            </w:r>
            <w:r w:rsidRPr="001B7D92">
              <w:rPr>
                <w:rFonts w:ascii="Calibri" w:hAnsi="Calibri" w:cs="Calibri"/>
                <w:lang w:val="en-IN"/>
              </w:rPr>
              <w:t xml:space="preserve"> with documented justification to the SSC. (</w:t>
            </w:r>
            <w:r w:rsidRPr="001B7D92">
              <w:rPr>
                <w:rFonts w:ascii="Calibri" w:hAnsi="Calibri" w:cs="Calibri"/>
                <w:i/>
                <w:iCs/>
                <w:lang w:val="en-IN"/>
              </w:rPr>
              <w:t>GTTP SOP, Paras F.2 and F.7)</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33E7F156" w:rsidR="00671EA4" w:rsidRPr="00C37D48" w:rsidRDefault="00835BC3"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22A59B6" w:rsidR="00B610C2" w:rsidRPr="00610F28" w:rsidRDefault="009C5229"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8234523" w:rsidR="00B610C2" w:rsidRPr="00610F28" w:rsidRDefault="009C5229"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82508F9" w:rsidR="00B610C2" w:rsidRPr="00610F28" w:rsidRDefault="009C5229"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3E6CD5D" w:rsidR="00B610C2" w:rsidRPr="00610F28" w:rsidRDefault="009C5229"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E0164D1" w:rsidR="00B610C2" w:rsidRPr="00610F28" w:rsidRDefault="009C5229"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B96FFEA" w:rsidR="00B610C2" w:rsidRPr="00610F28" w:rsidRDefault="009C5229"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AB5C085" w:rsidR="00B610C2" w:rsidRPr="00610F28" w:rsidRDefault="009C5229"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8933AE8" w:rsidR="00B610C2" w:rsidRPr="00610F28" w:rsidRDefault="009C5229"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11986F8C" w:rsidR="00B610C2" w:rsidRPr="00610F28" w:rsidRDefault="009C5229"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EE9A380" w:rsidR="00B610C2" w:rsidRPr="00610F28" w:rsidRDefault="009C5229"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06B010E7" w:rsidR="00B610C2" w:rsidRPr="00610F28" w:rsidRDefault="009C5229"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399E1717" w14:textId="6FDF3161" w:rsidR="000077C8" w:rsidRPr="000077C8" w:rsidRDefault="000077C8" w:rsidP="000077C8">
            <w:pPr>
              <w:jc w:val="both"/>
              <w:rPr>
                <w:rFonts w:ascii="Calibri" w:hAnsi="Calibri" w:cs="Calibri"/>
                <w:lang w:val="en-IN"/>
              </w:rPr>
            </w:pPr>
            <w:r w:rsidRPr="000077C8">
              <w:rPr>
                <w:rFonts w:ascii="Calibri" w:hAnsi="Calibri" w:cs="Calibri"/>
                <w:lang w:val="en-IN"/>
              </w:rPr>
              <w:t>The GTTP establishes a phased decarbonisation framework for major ports through the mandatory replacement of diesel-powered harbor tugs with tugs operating on electric, hydrogen, methanol, or hybrid propulsion technologies, as specified in the GTTP SOP.</w:t>
            </w:r>
          </w:p>
          <w:p w14:paraId="661AEEE8" w14:textId="2EAAA041" w:rsidR="00250F54" w:rsidRPr="007055BD" w:rsidRDefault="000077C8" w:rsidP="007055BD">
            <w:pPr>
              <w:jc w:val="both"/>
              <w:rPr>
                <w:rFonts w:ascii="Calibri" w:hAnsi="Calibri" w:cs="Calibri"/>
                <w:lang w:val="en-IN"/>
              </w:rPr>
            </w:pPr>
            <w:r w:rsidRPr="000077C8">
              <w:rPr>
                <w:rFonts w:ascii="Calibri" w:hAnsi="Calibri" w:cs="Calibri"/>
                <w:lang w:val="en-IN"/>
              </w:rPr>
              <w:t>The SOP does not refer to greenhouse gas scopes or require the preparation of emissions inventories. However, the replacement of diesel engines pertains to direct fuel combustion in port operations, which is classified under Scope 1 emissions in standard emissions reporting frameworks.</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055B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7055B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7055B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7055B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CDF6A9" w14:textId="77777777" w:rsidR="00E06DC4" w:rsidRDefault="00E06DC4" w:rsidP="00874E39">
      <w:r>
        <w:separator/>
      </w:r>
    </w:p>
  </w:endnote>
  <w:endnote w:type="continuationSeparator" w:id="0">
    <w:p w14:paraId="3FDFFD8B" w14:textId="77777777" w:rsidR="00E06DC4" w:rsidRDefault="00E06DC4" w:rsidP="00874E39">
      <w:r>
        <w:continuationSeparator/>
      </w:r>
    </w:p>
  </w:endnote>
  <w:endnote w:type="continuationNotice" w:id="1">
    <w:p w14:paraId="3E54C9F7" w14:textId="77777777" w:rsidR="00E06DC4" w:rsidRDefault="00E06DC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A31CC4" w14:textId="77777777" w:rsidR="00E06DC4" w:rsidRDefault="00E06DC4" w:rsidP="00874E39">
      <w:r>
        <w:separator/>
      </w:r>
    </w:p>
  </w:footnote>
  <w:footnote w:type="continuationSeparator" w:id="0">
    <w:p w14:paraId="04755334" w14:textId="77777777" w:rsidR="00E06DC4" w:rsidRDefault="00E06DC4" w:rsidP="00874E39">
      <w:r>
        <w:continuationSeparator/>
      </w:r>
    </w:p>
  </w:footnote>
  <w:footnote w:type="continuationNotice" w:id="1">
    <w:p w14:paraId="088BCE7A" w14:textId="77777777" w:rsidR="00E06DC4" w:rsidRDefault="00E06DC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07B38AB"/>
    <w:multiLevelType w:val="multilevel"/>
    <w:tmpl w:val="7A582166"/>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2AF4BB2"/>
    <w:multiLevelType w:val="hybridMultilevel"/>
    <w:tmpl w:val="71D80ACE"/>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4" w15:restartNumberingAfterBreak="0">
    <w:nsid w:val="251C54F4"/>
    <w:multiLevelType w:val="multilevel"/>
    <w:tmpl w:val="B266A9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55E3157"/>
    <w:multiLevelType w:val="multilevel"/>
    <w:tmpl w:val="20FE04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255E498F"/>
    <w:multiLevelType w:val="hybridMultilevel"/>
    <w:tmpl w:val="7A265F94"/>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7"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8"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9"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0"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1"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2" w15:restartNumberingAfterBreak="0">
    <w:nsid w:val="315C517E"/>
    <w:multiLevelType w:val="multilevel"/>
    <w:tmpl w:val="10E0C7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4"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5"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6"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7"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8"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9"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0"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1"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2"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3"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4"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5"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6"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7"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8"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5EE40B10"/>
    <w:multiLevelType w:val="multilevel"/>
    <w:tmpl w:val="06EE5840"/>
    <w:lvl w:ilvl="0">
      <w:start w:val="1"/>
      <w:numFmt w:val="decimal"/>
      <w:lvlText w:val="%1."/>
      <w:lvlJc w:val="left"/>
      <w:pPr>
        <w:tabs>
          <w:tab w:val="num" w:pos="720"/>
        </w:tabs>
        <w:ind w:left="720" w:hanging="360"/>
      </w:pPr>
    </w:lvl>
    <w:lvl w:ilvl="1">
      <w:start w:val="1"/>
      <w:numFmt w:val="lowerLetter"/>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9" w15:restartNumberingAfterBreak="0">
    <w:nsid w:val="6C8460CE"/>
    <w:multiLevelType w:val="multilevel"/>
    <w:tmpl w:val="18FE17CC"/>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1"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2"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6" w15:restartNumberingAfterBreak="0">
    <w:nsid w:val="794238E5"/>
    <w:multiLevelType w:val="hybridMultilevel"/>
    <w:tmpl w:val="B8809B62"/>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num w:numId="1" w16cid:durableId="680666882">
    <w:abstractNumId w:val="21"/>
  </w:num>
  <w:num w:numId="2" w16cid:durableId="482308869">
    <w:abstractNumId w:val="29"/>
  </w:num>
  <w:num w:numId="3" w16cid:durableId="690952733">
    <w:abstractNumId w:val="48"/>
  </w:num>
  <w:num w:numId="4" w16cid:durableId="1689330127">
    <w:abstractNumId w:val="1"/>
  </w:num>
  <w:num w:numId="5" w16cid:durableId="401291788">
    <w:abstractNumId w:val="34"/>
  </w:num>
  <w:num w:numId="6" w16cid:durableId="1276788690">
    <w:abstractNumId w:val="18"/>
  </w:num>
  <w:num w:numId="7" w16cid:durableId="566767730">
    <w:abstractNumId w:val="26"/>
  </w:num>
  <w:num w:numId="8" w16cid:durableId="1780710843">
    <w:abstractNumId w:val="40"/>
  </w:num>
  <w:num w:numId="9" w16cid:durableId="1685783054">
    <w:abstractNumId w:val="3"/>
  </w:num>
  <w:num w:numId="10" w16cid:durableId="950551298">
    <w:abstractNumId w:val="37"/>
  </w:num>
  <w:num w:numId="11" w16cid:durableId="1591960799">
    <w:abstractNumId w:val="55"/>
  </w:num>
  <w:num w:numId="12" w16cid:durableId="1344891410">
    <w:abstractNumId w:val="9"/>
  </w:num>
  <w:num w:numId="13" w16cid:durableId="2023899324">
    <w:abstractNumId w:val="12"/>
  </w:num>
  <w:num w:numId="14" w16cid:durableId="430587014">
    <w:abstractNumId w:val="7"/>
  </w:num>
  <w:num w:numId="15" w16cid:durableId="1742869061">
    <w:abstractNumId w:val="36"/>
  </w:num>
  <w:num w:numId="16" w16cid:durableId="1996450437">
    <w:abstractNumId w:val="25"/>
  </w:num>
  <w:num w:numId="17" w16cid:durableId="1529031027">
    <w:abstractNumId w:val="8"/>
  </w:num>
  <w:num w:numId="18" w16cid:durableId="568614617">
    <w:abstractNumId w:val="23"/>
  </w:num>
  <w:num w:numId="19" w16cid:durableId="1530605858">
    <w:abstractNumId w:val="50"/>
  </w:num>
  <w:num w:numId="20" w16cid:durableId="1328172586">
    <w:abstractNumId w:val="20"/>
  </w:num>
  <w:num w:numId="21" w16cid:durableId="184827816">
    <w:abstractNumId w:val="33"/>
  </w:num>
  <w:num w:numId="22" w16cid:durableId="1785346599">
    <w:abstractNumId w:val="39"/>
  </w:num>
  <w:num w:numId="23" w16cid:durableId="1294288901">
    <w:abstractNumId w:val="32"/>
  </w:num>
  <w:num w:numId="24" w16cid:durableId="1603957975">
    <w:abstractNumId w:val="52"/>
  </w:num>
  <w:num w:numId="25" w16cid:durableId="1659531047">
    <w:abstractNumId w:val="51"/>
  </w:num>
  <w:num w:numId="26" w16cid:durableId="752774403">
    <w:abstractNumId w:val="28"/>
  </w:num>
  <w:num w:numId="27" w16cid:durableId="347872198">
    <w:abstractNumId w:val="6"/>
  </w:num>
  <w:num w:numId="28" w16cid:durableId="537133110">
    <w:abstractNumId w:val="17"/>
  </w:num>
  <w:num w:numId="29" w16cid:durableId="1632318729">
    <w:abstractNumId w:val="53"/>
  </w:num>
  <w:num w:numId="30" w16cid:durableId="1268124074">
    <w:abstractNumId w:val="38"/>
  </w:num>
  <w:num w:numId="31" w16cid:durableId="887108748">
    <w:abstractNumId w:val="35"/>
  </w:num>
  <w:num w:numId="32" w16cid:durableId="1826125712">
    <w:abstractNumId w:val="41"/>
  </w:num>
  <w:num w:numId="33" w16cid:durableId="823357978">
    <w:abstractNumId w:val="45"/>
  </w:num>
  <w:num w:numId="34" w16cid:durableId="1092120443">
    <w:abstractNumId w:val="44"/>
  </w:num>
  <w:num w:numId="35" w16cid:durableId="124861188">
    <w:abstractNumId w:val="11"/>
  </w:num>
  <w:num w:numId="36" w16cid:durableId="1952588250">
    <w:abstractNumId w:val="43"/>
  </w:num>
  <w:num w:numId="37" w16cid:durableId="1712027211">
    <w:abstractNumId w:val="4"/>
  </w:num>
  <w:num w:numId="38" w16cid:durableId="2033795929">
    <w:abstractNumId w:val="2"/>
  </w:num>
  <w:num w:numId="39" w16cid:durableId="1238595582">
    <w:abstractNumId w:val="30"/>
  </w:num>
  <w:num w:numId="40" w16cid:durableId="416558262">
    <w:abstractNumId w:val="27"/>
  </w:num>
  <w:num w:numId="41" w16cid:durableId="1543715517">
    <w:abstractNumId w:val="24"/>
  </w:num>
  <w:num w:numId="42" w16cid:durableId="452208391">
    <w:abstractNumId w:val="19"/>
  </w:num>
  <w:num w:numId="43" w16cid:durableId="260340070">
    <w:abstractNumId w:val="0"/>
  </w:num>
  <w:num w:numId="44" w16cid:durableId="1639914969">
    <w:abstractNumId w:val="5"/>
  </w:num>
  <w:num w:numId="45" w16cid:durableId="1554191892">
    <w:abstractNumId w:val="46"/>
  </w:num>
  <w:num w:numId="46" w16cid:durableId="947811845">
    <w:abstractNumId w:val="54"/>
  </w:num>
  <w:num w:numId="47" w16cid:durableId="342588554">
    <w:abstractNumId w:val="31"/>
  </w:num>
  <w:num w:numId="48" w16cid:durableId="318391343">
    <w:abstractNumId w:val="42"/>
  </w:num>
  <w:num w:numId="49" w16cid:durableId="367341844">
    <w:abstractNumId w:val="49"/>
  </w:num>
  <w:num w:numId="50" w16cid:durableId="1681161468">
    <w:abstractNumId w:val="47"/>
  </w:num>
  <w:num w:numId="51" w16cid:durableId="850485521">
    <w:abstractNumId w:val="14"/>
  </w:num>
  <w:num w:numId="52" w16cid:durableId="226258411">
    <w:abstractNumId w:val="10"/>
  </w:num>
  <w:num w:numId="53" w16cid:durableId="1084299938">
    <w:abstractNumId w:val="22"/>
  </w:num>
  <w:num w:numId="54" w16cid:durableId="257059113">
    <w:abstractNumId w:val="16"/>
  </w:num>
  <w:num w:numId="55" w16cid:durableId="820924715">
    <w:abstractNumId w:val="15"/>
  </w:num>
  <w:num w:numId="56" w16cid:durableId="349600859">
    <w:abstractNumId w:val="56"/>
  </w:num>
  <w:num w:numId="57" w16cid:durableId="1644384652">
    <w:abstractNumId w:val="1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7C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5E3F"/>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0F7F1D"/>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5F6E"/>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D92"/>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2B8"/>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195"/>
    <w:rsid w:val="00232931"/>
    <w:rsid w:val="00232DDB"/>
    <w:rsid w:val="00233687"/>
    <w:rsid w:val="002338C8"/>
    <w:rsid w:val="00234A8B"/>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6CC2"/>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66C0"/>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778"/>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33C"/>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3FBD"/>
    <w:rsid w:val="00434724"/>
    <w:rsid w:val="00434B6A"/>
    <w:rsid w:val="0043666A"/>
    <w:rsid w:val="00436F24"/>
    <w:rsid w:val="0043774D"/>
    <w:rsid w:val="00437B11"/>
    <w:rsid w:val="004405AC"/>
    <w:rsid w:val="004419AC"/>
    <w:rsid w:val="00444D51"/>
    <w:rsid w:val="004474C7"/>
    <w:rsid w:val="00450AD7"/>
    <w:rsid w:val="00450C15"/>
    <w:rsid w:val="0045121E"/>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318"/>
    <w:rsid w:val="00545554"/>
    <w:rsid w:val="0054662E"/>
    <w:rsid w:val="0054680A"/>
    <w:rsid w:val="00547B98"/>
    <w:rsid w:val="0055251F"/>
    <w:rsid w:val="00553BB6"/>
    <w:rsid w:val="00554079"/>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5BD9"/>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5F7BBA"/>
    <w:rsid w:val="00601397"/>
    <w:rsid w:val="0060224F"/>
    <w:rsid w:val="00602D74"/>
    <w:rsid w:val="0060378D"/>
    <w:rsid w:val="00603B3F"/>
    <w:rsid w:val="006040AD"/>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26D5"/>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5D7"/>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BD"/>
    <w:rsid w:val="007055F4"/>
    <w:rsid w:val="00705948"/>
    <w:rsid w:val="00705ADE"/>
    <w:rsid w:val="007066F4"/>
    <w:rsid w:val="00707D5E"/>
    <w:rsid w:val="00707E6C"/>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31C"/>
    <w:rsid w:val="007726C8"/>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610"/>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BC3"/>
    <w:rsid w:val="00836174"/>
    <w:rsid w:val="00836AFC"/>
    <w:rsid w:val="008377D4"/>
    <w:rsid w:val="00840208"/>
    <w:rsid w:val="00840D64"/>
    <w:rsid w:val="0084197D"/>
    <w:rsid w:val="00842886"/>
    <w:rsid w:val="008432F5"/>
    <w:rsid w:val="008434EB"/>
    <w:rsid w:val="008440E3"/>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94D"/>
    <w:rsid w:val="008650EB"/>
    <w:rsid w:val="0087096F"/>
    <w:rsid w:val="008709CF"/>
    <w:rsid w:val="0087107D"/>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9A7"/>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AA3"/>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229"/>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27CE"/>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064"/>
    <w:rsid w:val="00A56BE5"/>
    <w:rsid w:val="00A56DE0"/>
    <w:rsid w:val="00A57E93"/>
    <w:rsid w:val="00A60DA8"/>
    <w:rsid w:val="00A6137C"/>
    <w:rsid w:val="00A615A6"/>
    <w:rsid w:val="00A623D0"/>
    <w:rsid w:val="00A62B35"/>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9D2"/>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6889"/>
    <w:rsid w:val="00B673AC"/>
    <w:rsid w:val="00B6777F"/>
    <w:rsid w:val="00B70D16"/>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D62"/>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ED4"/>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4BE"/>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3AE"/>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B5E"/>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2D7"/>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A38"/>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55B3"/>
    <w:rsid w:val="00E06DC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2DCD"/>
    <w:rsid w:val="00E43229"/>
    <w:rsid w:val="00E454C9"/>
    <w:rsid w:val="00E45D1C"/>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096"/>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161"/>
    <w:rsid w:val="00EE04F1"/>
    <w:rsid w:val="00EE07D1"/>
    <w:rsid w:val="00EE1FCA"/>
    <w:rsid w:val="00EE23B3"/>
    <w:rsid w:val="00EE5475"/>
    <w:rsid w:val="00EE5783"/>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746"/>
    <w:rsid w:val="00F1597E"/>
    <w:rsid w:val="00F16329"/>
    <w:rsid w:val="00F17407"/>
    <w:rsid w:val="00F179A4"/>
    <w:rsid w:val="00F21C87"/>
    <w:rsid w:val="00F21E1D"/>
    <w:rsid w:val="00F22B77"/>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4E61"/>
    <w:rsid w:val="00F47FD9"/>
    <w:rsid w:val="00F511CC"/>
    <w:rsid w:val="00F51334"/>
    <w:rsid w:val="00F5203B"/>
    <w:rsid w:val="00F526AD"/>
    <w:rsid w:val="00F527B7"/>
    <w:rsid w:val="00F52E73"/>
    <w:rsid w:val="00F52F6F"/>
    <w:rsid w:val="00F53828"/>
    <w:rsid w:val="00F5517E"/>
    <w:rsid w:val="00F567A8"/>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37F"/>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1009460">
      <w:bodyDiv w:val="1"/>
      <w:marLeft w:val="0"/>
      <w:marRight w:val="0"/>
      <w:marTop w:val="0"/>
      <w:marBottom w:val="0"/>
      <w:divBdr>
        <w:top w:val="none" w:sz="0" w:space="0" w:color="auto"/>
        <w:left w:val="none" w:sz="0" w:space="0" w:color="auto"/>
        <w:bottom w:val="none" w:sz="0" w:space="0" w:color="auto"/>
        <w:right w:val="none" w:sz="0" w:space="0" w:color="auto"/>
      </w:divBdr>
    </w:div>
    <w:div w:id="374156251">
      <w:bodyDiv w:val="1"/>
      <w:marLeft w:val="0"/>
      <w:marRight w:val="0"/>
      <w:marTop w:val="0"/>
      <w:marBottom w:val="0"/>
      <w:divBdr>
        <w:top w:val="none" w:sz="0" w:space="0" w:color="auto"/>
        <w:left w:val="none" w:sz="0" w:space="0" w:color="auto"/>
        <w:bottom w:val="none" w:sz="0" w:space="0" w:color="auto"/>
        <w:right w:val="none" w:sz="0" w:space="0" w:color="auto"/>
      </w:divBdr>
    </w:div>
    <w:div w:id="390233717">
      <w:bodyDiv w:val="1"/>
      <w:marLeft w:val="0"/>
      <w:marRight w:val="0"/>
      <w:marTop w:val="0"/>
      <w:marBottom w:val="0"/>
      <w:divBdr>
        <w:top w:val="none" w:sz="0" w:space="0" w:color="auto"/>
        <w:left w:val="none" w:sz="0" w:space="0" w:color="auto"/>
        <w:bottom w:val="none" w:sz="0" w:space="0" w:color="auto"/>
        <w:right w:val="none" w:sz="0" w:space="0" w:color="auto"/>
      </w:divBdr>
    </w:div>
    <w:div w:id="512692540">
      <w:bodyDiv w:val="1"/>
      <w:marLeft w:val="0"/>
      <w:marRight w:val="0"/>
      <w:marTop w:val="0"/>
      <w:marBottom w:val="0"/>
      <w:divBdr>
        <w:top w:val="none" w:sz="0" w:space="0" w:color="auto"/>
        <w:left w:val="none" w:sz="0" w:space="0" w:color="auto"/>
        <w:bottom w:val="none" w:sz="0" w:space="0" w:color="auto"/>
        <w:right w:val="none" w:sz="0" w:space="0" w:color="auto"/>
      </w:divBdr>
    </w:div>
    <w:div w:id="515114140">
      <w:bodyDiv w:val="1"/>
      <w:marLeft w:val="0"/>
      <w:marRight w:val="0"/>
      <w:marTop w:val="0"/>
      <w:marBottom w:val="0"/>
      <w:divBdr>
        <w:top w:val="none" w:sz="0" w:space="0" w:color="auto"/>
        <w:left w:val="none" w:sz="0" w:space="0" w:color="auto"/>
        <w:bottom w:val="none" w:sz="0" w:space="0" w:color="auto"/>
        <w:right w:val="none" w:sz="0" w:space="0" w:color="auto"/>
      </w:divBdr>
    </w:div>
    <w:div w:id="519860516">
      <w:bodyDiv w:val="1"/>
      <w:marLeft w:val="0"/>
      <w:marRight w:val="0"/>
      <w:marTop w:val="0"/>
      <w:marBottom w:val="0"/>
      <w:divBdr>
        <w:top w:val="none" w:sz="0" w:space="0" w:color="auto"/>
        <w:left w:val="none" w:sz="0" w:space="0" w:color="auto"/>
        <w:bottom w:val="none" w:sz="0" w:space="0" w:color="auto"/>
        <w:right w:val="none" w:sz="0" w:space="0" w:color="auto"/>
      </w:divBdr>
    </w:div>
    <w:div w:id="53727747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17435609">
      <w:bodyDiv w:val="1"/>
      <w:marLeft w:val="0"/>
      <w:marRight w:val="0"/>
      <w:marTop w:val="0"/>
      <w:marBottom w:val="0"/>
      <w:divBdr>
        <w:top w:val="none" w:sz="0" w:space="0" w:color="auto"/>
        <w:left w:val="none" w:sz="0" w:space="0" w:color="auto"/>
        <w:bottom w:val="none" w:sz="0" w:space="0" w:color="auto"/>
        <w:right w:val="none" w:sz="0" w:space="0" w:color="auto"/>
      </w:divBdr>
    </w:div>
    <w:div w:id="728112377">
      <w:bodyDiv w:val="1"/>
      <w:marLeft w:val="0"/>
      <w:marRight w:val="0"/>
      <w:marTop w:val="0"/>
      <w:marBottom w:val="0"/>
      <w:divBdr>
        <w:top w:val="none" w:sz="0" w:space="0" w:color="auto"/>
        <w:left w:val="none" w:sz="0" w:space="0" w:color="auto"/>
        <w:bottom w:val="none" w:sz="0" w:space="0" w:color="auto"/>
        <w:right w:val="none" w:sz="0" w:space="0" w:color="auto"/>
      </w:divBdr>
    </w:div>
    <w:div w:id="763844255">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44208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5557871">
      <w:bodyDiv w:val="1"/>
      <w:marLeft w:val="0"/>
      <w:marRight w:val="0"/>
      <w:marTop w:val="0"/>
      <w:marBottom w:val="0"/>
      <w:divBdr>
        <w:top w:val="none" w:sz="0" w:space="0" w:color="auto"/>
        <w:left w:val="none" w:sz="0" w:space="0" w:color="auto"/>
        <w:bottom w:val="none" w:sz="0" w:space="0" w:color="auto"/>
        <w:right w:val="none" w:sz="0" w:space="0" w:color="auto"/>
      </w:divBdr>
    </w:div>
    <w:div w:id="1466387097">
      <w:bodyDiv w:val="1"/>
      <w:marLeft w:val="0"/>
      <w:marRight w:val="0"/>
      <w:marTop w:val="0"/>
      <w:marBottom w:val="0"/>
      <w:divBdr>
        <w:top w:val="none" w:sz="0" w:space="0" w:color="auto"/>
        <w:left w:val="none" w:sz="0" w:space="0" w:color="auto"/>
        <w:bottom w:val="none" w:sz="0" w:space="0" w:color="auto"/>
        <w:right w:val="none" w:sz="0" w:space="0" w:color="auto"/>
      </w:divBdr>
    </w:div>
    <w:div w:id="1565726141">
      <w:bodyDiv w:val="1"/>
      <w:marLeft w:val="0"/>
      <w:marRight w:val="0"/>
      <w:marTop w:val="0"/>
      <w:marBottom w:val="0"/>
      <w:divBdr>
        <w:top w:val="none" w:sz="0" w:space="0" w:color="auto"/>
        <w:left w:val="none" w:sz="0" w:space="0" w:color="auto"/>
        <w:bottom w:val="none" w:sz="0" w:space="0" w:color="auto"/>
        <w:right w:val="none" w:sz="0" w:space="0" w:color="auto"/>
      </w:divBdr>
    </w:div>
    <w:div w:id="1583758205">
      <w:bodyDiv w:val="1"/>
      <w:marLeft w:val="0"/>
      <w:marRight w:val="0"/>
      <w:marTop w:val="0"/>
      <w:marBottom w:val="0"/>
      <w:divBdr>
        <w:top w:val="none" w:sz="0" w:space="0" w:color="auto"/>
        <w:left w:val="none" w:sz="0" w:space="0" w:color="auto"/>
        <w:bottom w:val="none" w:sz="0" w:space="0" w:color="auto"/>
        <w:right w:val="none" w:sz="0" w:space="0" w:color="auto"/>
      </w:divBdr>
    </w:div>
    <w:div w:id="1643926042">
      <w:bodyDiv w:val="1"/>
      <w:marLeft w:val="0"/>
      <w:marRight w:val="0"/>
      <w:marTop w:val="0"/>
      <w:marBottom w:val="0"/>
      <w:divBdr>
        <w:top w:val="none" w:sz="0" w:space="0" w:color="auto"/>
        <w:left w:val="none" w:sz="0" w:space="0" w:color="auto"/>
        <w:bottom w:val="none" w:sz="0" w:space="0" w:color="auto"/>
        <w:right w:val="none" w:sz="0" w:space="0" w:color="auto"/>
      </w:divBdr>
    </w:div>
    <w:div w:id="1764258636">
      <w:bodyDiv w:val="1"/>
      <w:marLeft w:val="0"/>
      <w:marRight w:val="0"/>
      <w:marTop w:val="0"/>
      <w:marBottom w:val="0"/>
      <w:divBdr>
        <w:top w:val="none" w:sz="0" w:space="0" w:color="auto"/>
        <w:left w:val="none" w:sz="0" w:space="0" w:color="auto"/>
        <w:bottom w:val="none" w:sz="0" w:space="0" w:color="auto"/>
        <w:right w:val="none" w:sz="0" w:space="0" w:color="auto"/>
      </w:divBdr>
    </w:div>
    <w:div w:id="1765373351">
      <w:bodyDiv w:val="1"/>
      <w:marLeft w:val="0"/>
      <w:marRight w:val="0"/>
      <w:marTop w:val="0"/>
      <w:marBottom w:val="0"/>
      <w:divBdr>
        <w:top w:val="none" w:sz="0" w:space="0" w:color="auto"/>
        <w:left w:val="none" w:sz="0" w:space="0" w:color="auto"/>
        <w:bottom w:val="none" w:sz="0" w:space="0" w:color="auto"/>
        <w:right w:val="none" w:sz="0" w:space="0" w:color="auto"/>
      </w:divBdr>
      <w:divsChild>
        <w:div w:id="1302808944">
          <w:marLeft w:val="0"/>
          <w:marRight w:val="0"/>
          <w:marTop w:val="0"/>
          <w:marBottom w:val="0"/>
          <w:divBdr>
            <w:top w:val="none" w:sz="0" w:space="0" w:color="auto"/>
            <w:left w:val="none" w:sz="0" w:space="0" w:color="auto"/>
            <w:bottom w:val="none" w:sz="0" w:space="0" w:color="auto"/>
            <w:right w:val="none" w:sz="0" w:space="0" w:color="auto"/>
          </w:divBdr>
          <w:divsChild>
            <w:div w:id="2008088648">
              <w:marLeft w:val="0"/>
              <w:marRight w:val="0"/>
              <w:marTop w:val="0"/>
              <w:marBottom w:val="0"/>
              <w:divBdr>
                <w:top w:val="none" w:sz="0" w:space="0" w:color="auto"/>
                <w:left w:val="none" w:sz="0" w:space="0" w:color="auto"/>
                <w:bottom w:val="none" w:sz="0" w:space="0" w:color="auto"/>
                <w:right w:val="none" w:sz="0" w:space="0" w:color="auto"/>
              </w:divBdr>
              <w:divsChild>
                <w:div w:id="103160613">
                  <w:marLeft w:val="0"/>
                  <w:marRight w:val="0"/>
                  <w:marTop w:val="0"/>
                  <w:marBottom w:val="0"/>
                  <w:divBdr>
                    <w:top w:val="none" w:sz="0" w:space="0" w:color="auto"/>
                    <w:left w:val="none" w:sz="0" w:space="0" w:color="auto"/>
                    <w:bottom w:val="none" w:sz="0" w:space="0" w:color="auto"/>
                    <w:right w:val="none" w:sz="0" w:space="0" w:color="auto"/>
                  </w:divBdr>
                  <w:divsChild>
                    <w:div w:id="767701583">
                      <w:marLeft w:val="0"/>
                      <w:marRight w:val="0"/>
                      <w:marTop w:val="0"/>
                      <w:marBottom w:val="0"/>
                      <w:divBdr>
                        <w:top w:val="none" w:sz="0" w:space="0" w:color="auto"/>
                        <w:left w:val="none" w:sz="0" w:space="0" w:color="auto"/>
                        <w:bottom w:val="none" w:sz="0" w:space="0" w:color="auto"/>
                        <w:right w:val="none" w:sz="0" w:space="0" w:color="auto"/>
                      </w:divBdr>
                      <w:divsChild>
                        <w:div w:id="1357728461">
                          <w:marLeft w:val="0"/>
                          <w:marRight w:val="0"/>
                          <w:marTop w:val="0"/>
                          <w:marBottom w:val="0"/>
                          <w:divBdr>
                            <w:top w:val="none" w:sz="0" w:space="0" w:color="auto"/>
                            <w:left w:val="none" w:sz="0" w:space="0" w:color="auto"/>
                            <w:bottom w:val="none" w:sz="0" w:space="0" w:color="auto"/>
                            <w:right w:val="none" w:sz="0" w:space="0" w:color="auto"/>
                          </w:divBdr>
                          <w:divsChild>
                            <w:div w:id="2132437862">
                              <w:marLeft w:val="0"/>
                              <w:marRight w:val="0"/>
                              <w:marTop w:val="0"/>
                              <w:marBottom w:val="0"/>
                              <w:divBdr>
                                <w:top w:val="none" w:sz="0" w:space="0" w:color="auto"/>
                                <w:left w:val="none" w:sz="0" w:space="0" w:color="auto"/>
                                <w:bottom w:val="none" w:sz="0" w:space="0" w:color="auto"/>
                                <w:right w:val="none" w:sz="0" w:space="0" w:color="auto"/>
                              </w:divBdr>
                              <w:divsChild>
                                <w:div w:id="519660177">
                                  <w:marLeft w:val="0"/>
                                  <w:marRight w:val="0"/>
                                  <w:marTop w:val="0"/>
                                  <w:marBottom w:val="0"/>
                                  <w:divBdr>
                                    <w:top w:val="none" w:sz="0" w:space="0" w:color="auto"/>
                                    <w:left w:val="none" w:sz="0" w:space="0" w:color="auto"/>
                                    <w:bottom w:val="none" w:sz="0" w:space="0" w:color="auto"/>
                                    <w:right w:val="none" w:sz="0" w:space="0" w:color="auto"/>
                                  </w:divBdr>
                                  <w:divsChild>
                                    <w:div w:id="1208419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3302881">
                      <w:marLeft w:val="0"/>
                      <w:marRight w:val="0"/>
                      <w:marTop w:val="0"/>
                      <w:marBottom w:val="0"/>
                      <w:divBdr>
                        <w:top w:val="none" w:sz="0" w:space="0" w:color="auto"/>
                        <w:left w:val="none" w:sz="0" w:space="0" w:color="auto"/>
                        <w:bottom w:val="none" w:sz="0" w:space="0" w:color="auto"/>
                        <w:right w:val="none" w:sz="0" w:space="0" w:color="auto"/>
                      </w:divBdr>
                      <w:divsChild>
                        <w:div w:id="495654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8061406">
      <w:bodyDiv w:val="1"/>
      <w:marLeft w:val="0"/>
      <w:marRight w:val="0"/>
      <w:marTop w:val="0"/>
      <w:marBottom w:val="0"/>
      <w:divBdr>
        <w:top w:val="none" w:sz="0" w:space="0" w:color="auto"/>
        <w:left w:val="none" w:sz="0" w:space="0" w:color="auto"/>
        <w:bottom w:val="none" w:sz="0" w:space="0" w:color="auto"/>
        <w:right w:val="none" w:sz="0" w:space="0" w:color="auto"/>
      </w:divBdr>
    </w:div>
    <w:div w:id="1882280391">
      <w:bodyDiv w:val="1"/>
      <w:marLeft w:val="0"/>
      <w:marRight w:val="0"/>
      <w:marTop w:val="0"/>
      <w:marBottom w:val="0"/>
      <w:divBdr>
        <w:top w:val="none" w:sz="0" w:space="0" w:color="auto"/>
        <w:left w:val="none" w:sz="0" w:space="0" w:color="auto"/>
        <w:bottom w:val="none" w:sz="0" w:space="0" w:color="auto"/>
        <w:right w:val="none" w:sz="0" w:space="0" w:color="auto"/>
      </w:divBdr>
    </w:div>
    <w:div w:id="1938245865">
      <w:bodyDiv w:val="1"/>
      <w:marLeft w:val="0"/>
      <w:marRight w:val="0"/>
      <w:marTop w:val="0"/>
      <w:marBottom w:val="0"/>
      <w:divBdr>
        <w:top w:val="none" w:sz="0" w:space="0" w:color="auto"/>
        <w:left w:val="none" w:sz="0" w:space="0" w:color="auto"/>
        <w:bottom w:val="none" w:sz="0" w:space="0" w:color="auto"/>
        <w:right w:val="none" w:sz="0" w:space="0" w:color="auto"/>
      </w:divBdr>
    </w:div>
    <w:div w:id="1988586462">
      <w:bodyDiv w:val="1"/>
      <w:marLeft w:val="0"/>
      <w:marRight w:val="0"/>
      <w:marTop w:val="0"/>
      <w:marBottom w:val="0"/>
      <w:divBdr>
        <w:top w:val="none" w:sz="0" w:space="0" w:color="auto"/>
        <w:left w:val="none" w:sz="0" w:space="0" w:color="auto"/>
        <w:bottom w:val="none" w:sz="0" w:space="0" w:color="auto"/>
        <w:right w:val="none" w:sz="0" w:space="0" w:color="auto"/>
      </w:divBdr>
      <w:divsChild>
        <w:div w:id="622808086">
          <w:marLeft w:val="0"/>
          <w:marRight w:val="0"/>
          <w:marTop w:val="0"/>
          <w:marBottom w:val="0"/>
          <w:divBdr>
            <w:top w:val="none" w:sz="0" w:space="0" w:color="auto"/>
            <w:left w:val="none" w:sz="0" w:space="0" w:color="auto"/>
            <w:bottom w:val="none" w:sz="0" w:space="0" w:color="auto"/>
            <w:right w:val="none" w:sz="0" w:space="0" w:color="auto"/>
          </w:divBdr>
          <w:divsChild>
            <w:div w:id="1298218306">
              <w:marLeft w:val="0"/>
              <w:marRight w:val="0"/>
              <w:marTop w:val="0"/>
              <w:marBottom w:val="0"/>
              <w:divBdr>
                <w:top w:val="none" w:sz="0" w:space="0" w:color="auto"/>
                <w:left w:val="none" w:sz="0" w:space="0" w:color="auto"/>
                <w:bottom w:val="none" w:sz="0" w:space="0" w:color="auto"/>
                <w:right w:val="none" w:sz="0" w:space="0" w:color="auto"/>
              </w:divBdr>
              <w:divsChild>
                <w:div w:id="976031947">
                  <w:marLeft w:val="0"/>
                  <w:marRight w:val="0"/>
                  <w:marTop w:val="0"/>
                  <w:marBottom w:val="0"/>
                  <w:divBdr>
                    <w:top w:val="none" w:sz="0" w:space="0" w:color="auto"/>
                    <w:left w:val="none" w:sz="0" w:space="0" w:color="auto"/>
                    <w:bottom w:val="none" w:sz="0" w:space="0" w:color="auto"/>
                    <w:right w:val="none" w:sz="0" w:space="0" w:color="auto"/>
                  </w:divBdr>
                  <w:divsChild>
                    <w:div w:id="54203061">
                      <w:marLeft w:val="0"/>
                      <w:marRight w:val="0"/>
                      <w:marTop w:val="0"/>
                      <w:marBottom w:val="0"/>
                      <w:divBdr>
                        <w:top w:val="none" w:sz="0" w:space="0" w:color="auto"/>
                        <w:left w:val="none" w:sz="0" w:space="0" w:color="auto"/>
                        <w:bottom w:val="none" w:sz="0" w:space="0" w:color="auto"/>
                        <w:right w:val="none" w:sz="0" w:space="0" w:color="auto"/>
                      </w:divBdr>
                      <w:divsChild>
                        <w:div w:id="1460298218">
                          <w:marLeft w:val="0"/>
                          <w:marRight w:val="0"/>
                          <w:marTop w:val="0"/>
                          <w:marBottom w:val="0"/>
                          <w:divBdr>
                            <w:top w:val="none" w:sz="0" w:space="0" w:color="auto"/>
                            <w:left w:val="none" w:sz="0" w:space="0" w:color="auto"/>
                            <w:bottom w:val="none" w:sz="0" w:space="0" w:color="auto"/>
                            <w:right w:val="none" w:sz="0" w:space="0" w:color="auto"/>
                          </w:divBdr>
                          <w:divsChild>
                            <w:div w:id="429401009">
                              <w:marLeft w:val="0"/>
                              <w:marRight w:val="0"/>
                              <w:marTop w:val="0"/>
                              <w:marBottom w:val="0"/>
                              <w:divBdr>
                                <w:top w:val="none" w:sz="0" w:space="0" w:color="auto"/>
                                <w:left w:val="none" w:sz="0" w:space="0" w:color="auto"/>
                                <w:bottom w:val="none" w:sz="0" w:space="0" w:color="auto"/>
                                <w:right w:val="none" w:sz="0" w:space="0" w:color="auto"/>
                              </w:divBdr>
                              <w:divsChild>
                                <w:div w:id="507408486">
                                  <w:marLeft w:val="0"/>
                                  <w:marRight w:val="0"/>
                                  <w:marTop w:val="0"/>
                                  <w:marBottom w:val="0"/>
                                  <w:divBdr>
                                    <w:top w:val="none" w:sz="0" w:space="0" w:color="auto"/>
                                    <w:left w:val="none" w:sz="0" w:space="0" w:color="auto"/>
                                    <w:bottom w:val="none" w:sz="0" w:space="0" w:color="auto"/>
                                    <w:right w:val="none" w:sz="0" w:space="0" w:color="auto"/>
                                  </w:divBdr>
                                  <w:divsChild>
                                    <w:div w:id="2247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9310595">
                      <w:marLeft w:val="0"/>
                      <w:marRight w:val="0"/>
                      <w:marTop w:val="0"/>
                      <w:marBottom w:val="0"/>
                      <w:divBdr>
                        <w:top w:val="none" w:sz="0" w:space="0" w:color="auto"/>
                        <w:left w:val="none" w:sz="0" w:space="0" w:color="auto"/>
                        <w:bottom w:val="none" w:sz="0" w:space="0" w:color="auto"/>
                        <w:right w:val="none" w:sz="0" w:space="0" w:color="auto"/>
                      </w:divBdr>
                      <w:divsChild>
                        <w:div w:id="1092774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12030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519102">
      <w:bodyDiv w:val="1"/>
      <w:marLeft w:val="0"/>
      <w:marRight w:val="0"/>
      <w:marTop w:val="0"/>
      <w:marBottom w:val="0"/>
      <w:divBdr>
        <w:top w:val="none" w:sz="0" w:space="0" w:color="auto"/>
        <w:left w:val="none" w:sz="0" w:space="0" w:color="auto"/>
        <w:bottom w:val="none" w:sz="0" w:space="0" w:color="auto"/>
        <w:right w:val="none" w:sz="0" w:space="0" w:color="auto"/>
      </w:divBdr>
    </w:div>
    <w:div w:id="20980136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03956/https://shipmin.gov.in/sites/default/files/GTTP%20SOP%20with%20forwarding%20letter.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94</Pages>
  <Words>22972</Words>
  <Characters>130945</Characters>
  <Application>Microsoft Office Word</Application>
  <DocSecurity>0</DocSecurity>
  <Lines>1091</Lines>
  <Paragraphs>307</Paragraphs>
  <ScaleCrop>false</ScaleCrop>
  <Company/>
  <LinksUpToDate>false</LinksUpToDate>
  <CharactersWithSpaces>153610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Vihaan Pathak</cp:lastModifiedBy>
  <cp:revision>8</cp:revision>
  <cp:lastPrinted>2025-03-21T00:14:00Z</cp:lastPrinted>
  <dcterms:created xsi:type="dcterms:W3CDTF">2025-07-07T09:29:00Z</dcterms:created>
  <dcterms:modified xsi:type="dcterms:W3CDTF">2025-07-08T16:15:00Z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